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5DD" w:rsidRDefault="006C48F3">
      <w:pPr>
        <w:spacing w:after="37" w:line="259" w:lineRule="auto"/>
        <w:ind w:left="0" w:right="1054" w:firstLine="0"/>
      </w:pPr>
      <w:r>
        <w:rPr>
          <w:noProof/>
        </w:rPr>
        <w:drawing>
          <wp:anchor distT="0" distB="0" distL="114300" distR="114300" simplePos="0" relativeHeight="251658240" behindDoc="0" locked="0" layoutInCell="1" allowOverlap="0">
            <wp:simplePos x="0" y="0"/>
            <wp:positionH relativeFrom="column">
              <wp:posOffset>4112805</wp:posOffset>
            </wp:positionH>
            <wp:positionV relativeFrom="paragraph">
              <wp:posOffset>-266542</wp:posOffset>
            </wp:positionV>
            <wp:extent cx="1258064" cy="640252"/>
            <wp:effectExtent l="0" t="0" r="0" b="0"/>
            <wp:wrapSquare wrapText="bothSides"/>
            <wp:docPr id="63" name="Picture 63"/>
            <wp:cNvGraphicFramePr/>
            <a:graphic xmlns:a="http://schemas.openxmlformats.org/drawingml/2006/main">
              <a:graphicData uri="http://schemas.openxmlformats.org/drawingml/2006/picture">
                <pic:pic xmlns:pic="http://schemas.openxmlformats.org/drawingml/2006/picture">
                  <pic:nvPicPr>
                    <pic:cNvPr id="63" name="Picture 63"/>
                    <pic:cNvPicPr/>
                  </pic:nvPicPr>
                  <pic:blipFill>
                    <a:blip r:embed="rId7"/>
                    <a:stretch>
                      <a:fillRect/>
                    </a:stretch>
                  </pic:blipFill>
                  <pic:spPr>
                    <a:xfrm flipV="1">
                      <a:off x="0" y="0"/>
                      <a:ext cx="1258064" cy="640252"/>
                    </a:xfrm>
                    <a:prstGeom prst="rect">
                      <a:avLst/>
                    </a:prstGeom>
                  </pic:spPr>
                </pic:pic>
              </a:graphicData>
            </a:graphic>
          </wp:anchor>
        </w:drawing>
      </w:r>
      <w:r>
        <w:rPr>
          <w:rFonts w:ascii="Calibri" w:eastAsia="Calibri" w:hAnsi="Calibri" w:cs="Calibri"/>
          <w:b/>
          <w:sz w:val="21"/>
        </w:rPr>
        <w:t>UDC</w:t>
      </w:r>
      <w:r>
        <w:rPr>
          <w:rFonts w:ascii="黑体" w:eastAsia="黑体" w:hAnsi="黑体" w:cs="黑体"/>
          <w:sz w:val="32"/>
        </w:rPr>
        <w:t xml:space="preserve"> </w:t>
      </w:r>
    </w:p>
    <w:p w:rsidR="00B875DD" w:rsidRDefault="006C48F3">
      <w:pPr>
        <w:spacing w:after="175" w:line="259" w:lineRule="auto"/>
        <w:ind w:left="0" w:right="1054" w:firstLine="0"/>
        <w:jc w:val="center"/>
      </w:pPr>
      <w:r>
        <w:rPr>
          <w:rFonts w:ascii="黑体" w:eastAsia="黑体" w:hAnsi="黑体" w:cs="黑体"/>
          <w:sz w:val="32"/>
        </w:rPr>
        <w:t xml:space="preserve"> </w:t>
      </w:r>
    </w:p>
    <w:p w:rsidR="00B875DD" w:rsidRDefault="006C48F3">
      <w:pPr>
        <w:spacing w:after="195" w:line="259" w:lineRule="auto"/>
        <w:ind w:left="0" w:right="272" w:firstLine="0"/>
        <w:jc w:val="center"/>
      </w:pPr>
      <w:r>
        <w:rPr>
          <w:rFonts w:ascii="黑体" w:eastAsia="黑体" w:hAnsi="黑体" w:cs="黑体"/>
          <w:sz w:val="32"/>
        </w:rPr>
        <w:t xml:space="preserve">中华人民共和国国家标准 </w:t>
      </w:r>
    </w:p>
    <w:p w:rsidR="00B875DD" w:rsidRDefault="006C48F3">
      <w:pPr>
        <w:spacing w:after="0" w:line="259" w:lineRule="auto"/>
        <w:ind w:left="0" w:right="272" w:firstLine="0"/>
        <w:jc w:val="center"/>
      </w:pPr>
      <w:r>
        <w:rPr>
          <w:rFonts w:ascii="黑体" w:eastAsia="黑体" w:hAnsi="黑体" w:cs="黑体"/>
          <w:sz w:val="32"/>
        </w:rPr>
        <w:t xml:space="preserve">P                                  </w:t>
      </w:r>
      <w:r>
        <w:rPr>
          <w:rFonts w:ascii="Times New Roman" w:eastAsia="Times New Roman" w:hAnsi="Times New Roman" w:cs="Times New Roman"/>
          <w:sz w:val="21"/>
        </w:rPr>
        <w:t>GB</w:t>
      </w:r>
      <w:r>
        <w:rPr>
          <w:rFonts w:ascii="黑体" w:eastAsia="黑体" w:hAnsi="黑体" w:cs="黑体"/>
          <w:sz w:val="21"/>
        </w:rPr>
        <w:t>/T 51095-2015</w:t>
      </w:r>
      <w:r>
        <w:rPr>
          <w:rFonts w:ascii="黑体" w:eastAsia="黑体" w:hAnsi="黑体" w:cs="黑体"/>
          <w:sz w:val="32"/>
        </w:rPr>
        <w:t xml:space="preserve"> </w:t>
      </w:r>
    </w:p>
    <w:p w:rsidR="00B875DD" w:rsidRDefault="006C48F3">
      <w:pPr>
        <w:spacing w:after="0" w:line="259" w:lineRule="auto"/>
        <w:ind w:left="0" w:right="143" w:firstLine="0"/>
        <w:jc w:val="center"/>
      </w:pPr>
      <w:r>
        <w:rPr>
          <w:sz w:val="13"/>
        </w:rPr>
        <w:t xml:space="preserve">  </w:t>
      </w:r>
    </w:p>
    <w:p w:rsidR="00B875DD" w:rsidRDefault="006C48F3">
      <w:pPr>
        <w:spacing w:after="106" w:line="259" w:lineRule="auto"/>
        <w:ind w:left="-29" w:right="0" w:firstLine="0"/>
      </w:pPr>
      <w:r>
        <w:rPr>
          <w:rFonts w:ascii="Calibri" w:eastAsia="Calibri" w:hAnsi="Calibri" w:cs="Calibri"/>
          <w:noProof/>
          <w:sz w:val="22"/>
        </w:rPr>
        <mc:AlternateContent>
          <mc:Choice Requires="wpg">
            <w:drawing>
              <wp:inline distT="0" distB="0" distL="0" distR="0">
                <wp:extent cx="5903976" cy="18288"/>
                <wp:effectExtent l="0" t="0" r="0" b="0"/>
                <wp:docPr id="21079" name="Group 21079"/>
                <wp:cNvGraphicFramePr/>
                <a:graphic xmlns:a="http://schemas.openxmlformats.org/drawingml/2006/main">
                  <a:graphicData uri="http://schemas.microsoft.com/office/word/2010/wordprocessingGroup">
                    <wpg:wgp>
                      <wpg:cNvGrpSpPr/>
                      <wpg:grpSpPr>
                        <a:xfrm>
                          <a:off x="0" y="0"/>
                          <a:ext cx="5903976" cy="18288"/>
                          <a:chOff x="0" y="0"/>
                          <a:chExt cx="5903976" cy="18288"/>
                        </a:xfrm>
                      </wpg:grpSpPr>
                      <wps:wsp>
                        <wps:cNvPr id="28483" name="Shape 28483"/>
                        <wps:cNvSpPr/>
                        <wps:spPr>
                          <a:xfrm>
                            <a:off x="0" y="0"/>
                            <a:ext cx="5903976" cy="18288"/>
                          </a:xfrm>
                          <a:custGeom>
                            <a:avLst/>
                            <a:gdLst/>
                            <a:ahLst/>
                            <a:cxnLst/>
                            <a:rect l="0" t="0" r="0" b="0"/>
                            <a:pathLst>
                              <a:path w="5903976" h="18288">
                                <a:moveTo>
                                  <a:pt x="0" y="0"/>
                                </a:moveTo>
                                <a:lnTo>
                                  <a:pt x="5903976" y="0"/>
                                </a:lnTo>
                                <a:lnTo>
                                  <a:pt x="59039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79" style="width:464.88pt;height:1.44pt;mso-position-horizontal-relative:char;mso-position-vertical-relative:line" coordsize="59039,182">
                <v:shape id="Shape 28484" style="position:absolute;width:59039;height:182;left:0;top:0;" coordsize="5903976,18288" path="m0,0l5903976,0l5903976,18288l0,18288l0,0">
                  <v:stroke weight="0pt" endcap="flat" joinstyle="miter" miterlimit="10" on="false" color="#000000" opacity="0"/>
                  <v:fill on="true" color="#000000"/>
                </v:shape>
              </v:group>
            </w:pict>
          </mc:Fallback>
        </mc:AlternateContent>
      </w:r>
    </w:p>
    <w:p w:rsidR="00B875DD" w:rsidRDefault="006C48F3">
      <w:pPr>
        <w:spacing w:after="0" w:line="259" w:lineRule="auto"/>
        <w:ind w:left="88" w:right="0" w:firstLine="0"/>
        <w:jc w:val="center"/>
      </w:pPr>
      <w:r>
        <w:rPr>
          <w:rFonts w:ascii="黑体" w:eastAsia="黑体" w:hAnsi="黑体" w:cs="黑体"/>
          <w:sz w:val="72"/>
        </w:rPr>
        <w:t xml:space="preserve"> </w:t>
      </w:r>
    </w:p>
    <w:p w:rsidR="00B875DD" w:rsidRDefault="006C48F3">
      <w:pPr>
        <w:spacing w:after="32" w:line="259" w:lineRule="auto"/>
        <w:ind w:left="0" w:right="273" w:firstLine="0"/>
        <w:jc w:val="center"/>
      </w:pPr>
      <w:r>
        <w:rPr>
          <w:rFonts w:ascii="黑体" w:eastAsia="黑体" w:hAnsi="黑体" w:cs="黑体"/>
          <w:sz w:val="44"/>
        </w:rPr>
        <w:t>建设工程造价咨询规范</w:t>
      </w:r>
      <w:r>
        <w:rPr>
          <w:rFonts w:ascii="Times New Roman" w:eastAsia="Times New Roman" w:hAnsi="Times New Roman" w:cs="Times New Roman"/>
          <w:sz w:val="44"/>
        </w:rPr>
        <w:t xml:space="preserve"> </w:t>
      </w:r>
    </w:p>
    <w:p w:rsidR="00B875DD" w:rsidRDefault="006C48F3">
      <w:pPr>
        <w:spacing w:after="222" w:line="259" w:lineRule="auto"/>
        <w:ind w:left="0" w:right="273" w:firstLine="0"/>
        <w:jc w:val="center"/>
      </w:pPr>
      <w:r>
        <w:rPr>
          <w:rFonts w:ascii="Times New Roman" w:eastAsia="Times New Roman" w:hAnsi="Times New Roman" w:cs="Times New Roman"/>
          <w:sz w:val="32"/>
        </w:rPr>
        <w:t xml:space="preserve">Code for construction cost consultation </w:t>
      </w:r>
    </w:p>
    <w:p w:rsidR="00B875DD" w:rsidRDefault="006C48F3">
      <w:pPr>
        <w:spacing w:after="181" w:line="259" w:lineRule="auto"/>
        <w:ind w:left="0" w:right="167" w:firstLine="0"/>
        <w:jc w:val="center"/>
      </w:pPr>
      <w:r>
        <w:rPr>
          <w:rFonts w:ascii="黑体" w:eastAsia="黑体" w:hAnsi="黑体" w:cs="黑体"/>
          <w:sz w:val="21"/>
        </w:rPr>
        <w:t xml:space="preserve"> </w:t>
      </w:r>
    </w:p>
    <w:p w:rsidR="00B875DD" w:rsidRDefault="006C48F3">
      <w:pPr>
        <w:spacing w:after="207" w:line="259" w:lineRule="auto"/>
        <w:ind w:left="0" w:right="122" w:firstLine="0"/>
        <w:jc w:val="center"/>
      </w:pPr>
      <w:r>
        <w:rPr>
          <w:rFonts w:ascii="黑体" w:eastAsia="黑体" w:hAnsi="黑体" w:cs="黑体"/>
          <w:sz w:val="30"/>
        </w:rPr>
        <w:t xml:space="preserve"> </w:t>
      </w:r>
    </w:p>
    <w:p w:rsidR="00B875DD" w:rsidRDefault="006C48F3">
      <w:pPr>
        <w:spacing w:after="0" w:line="259" w:lineRule="auto"/>
        <w:ind w:left="0" w:right="193" w:firstLine="0"/>
        <w:jc w:val="center"/>
      </w:pPr>
      <w:r>
        <w:rPr>
          <w:rFonts w:ascii="Times New Roman" w:eastAsia="Times New Roman" w:hAnsi="Times New Roman" w:cs="Times New Roman"/>
          <w:sz w:val="32"/>
        </w:rPr>
        <w:t xml:space="preserve"> </w:t>
      </w:r>
    </w:p>
    <w:p w:rsidR="00B875DD" w:rsidRDefault="00B875DD">
      <w:pPr>
        <w:spacing w:after="184" w:line="259" w:lineRule="auto"/>
        <w:ind w:left="4051" w:right="0" w:firstLine="0"/>
      </w:pPr>
    </w:p>
    <w:p w:rsidR="00B875DD" w:rsidRDefault="006C48F3">
      <w:pPr>
        <w:spacing w:after="94" w:line="259" w:lineRule="auto"/>
        <w:ind w:left="0" w:right="92" w:firstLine="0"/>
        <w:jc w:val="center"/>
      </w:pPr>
      <w:r>
        <w:rPr>
          <w:rFonts w:ascii="黑体" w:eastAsia="黑体" w:hAnsi="黑体" w:cs="黑体"/>
          <w:sz w:val="36"/>
        </w:rPr>
        <w:t xml:space="preserve"> </w:t>
      </w:r>
    </w:p>
    <w:p w:rsidR="00B875DD" w:rsidRDefault="006C48F3">
      <w:pPr>
        <w:spacing w:after="200" w:line="259" w:lineRule="auto"/>
        <w:ind w:left="0" w:right="0" w:firstLine="0"/>
      </w:pPr>
      <w:r>
        <w:rPr>
          <w:rFonts w:ascii="黑体" w:eastAsia="黑体" w:hAnsi="黑体" w:cs="黑体"/>
          <w:sz w:val="30"/>
        </w:rPr>
        <w:t xml:space="preserve"> </w:t>
      </w:r>
    </w:p>
    <w:p w:rsidR="00B875DD" w:rsidRDefault="006C48F3">
      <w:pPr>
        <w:spacing w:after="212" w:line="259" w:lineRule="auto"/>
        <w:ind w:left="0" w:right="275" w:firstLine="0"/>
        <w:jc w:val="center"/>
      </w:pPr>
      <w:r>
        <w:rPr>
          <w:rFonts w:ascii="黑体" w:eastAsia="黑体" w:hAnsi="黑体" w:cs="黑体"/>
          <w:sz w:val="30"/>
        </w:rPr>
        <w:t xml:space="preserve">2015－03－18发布                      2015－11－01实施 </w:t>
      </w:r>
    </w:p>
    <w:p w:rsidR="00B875DD" w:rsidRDefault="006C48F3">
      <w:pPr>
        <w:spacing w:after="0" w:line="259" w:lineRule="auto"/>
        <w:ind w:left="0" w:right="113" w:firstLine="0"/>
        <w:jc w:val="center"/>
      </w:pPr>
      <w:r>
        <w:rPr>
          <w:rFonts w:ascii="黑体" w:eastAsia="黑体" w:hAnsi="黑体" w:cs="黑体"/>
          <w:sz w:val="32"/>
        </w:rPr>
        <w:t xml:space="preserve"> </w:t>
      </w:r>
    </w:p>
    <w:p w:rsidR="00B875DD" w:rsidRDefault="006C48F3">
      <w:pPr>
        <w:spacing w:after="150" w:line="259" w:lineRule="auto"/>
        <w:ind w:left="-29" w:right="0" w:firstLine="0"/>
      </w:pPr>
      <w:r>
        <w:rPr>
          <w:rFonts w:ascii="Calibri" w:eastAsia="Calibri" w:hAnsi="Calibri" w:cs="Calibri"/>
          <w:noProof/>
          <w:sz w:val="22"/>
        </w:rPr>
        <mc:AlternateContent>
          <mc:Choice Requires="wpg">
            <w:drawing>
              <wp:inline distT="0" distB="0" distL="0" distR="0">
                <wp:extent cx="5903976" cy="18288"/>
                <wp:effectExtent l="0" t="0" r="0" b="0"/>
                <wp:docPr id="21080" name="Group 21080"/>
                <wp:cNvGraphicFramePr/>
                <a:graphic xmlns:a="http://schemas.openxmlformats.org/drawingml/2006/main">
                  <a:graphicData uri="http://schemas.microsoft.com/office/word/2010/wordprocessingGroup">
                    <wpg:wgp>
                      <wpg:cNvGrpSpPr/>
                      <wpg:grpSpPr>
                        <a:xfrm>
                          <a:off x="0" y="0"/>
                          <a:ext cx="5903976" cy="18288"/>
                          <a:chOff x="0" y="0"/>
                          <a:chExt cx="5903976" cy="18288"/>
                        </a:xfrm>
                      </wpg:grpSpPr>
                      <wps:wsp>
                        <wps:cNvPr id="28485" name="Shape 28485"/>
                        <wps:cNvSpPr/>
                        <wps:spPr>
                          <a:xfrm>
                            <a:off x="0" y="0"/>
                            <a:ext cx="5903976" cy="18288"/>
                          </a:xfrm>
                          <a:custGeom>
                            <a:avLst/>
                            <a:gdLst/>
                            <a:ahLst/>
                            <a:cxnLst/>
                            <a:rect l="0" t="0" r="0" b="0"/>
                            <a:pathLst>
                              <a:path w="5903976" h="18288">
                                <a:moveTo>
                                  <a:pt x="0" y="0"/>
                                </a:moveTo>
                                <a:lnTo>
                                  <a:pt x="5903976" y="0"/>
                                </a:lnTo>
                                <a:lnTo>
                                  <a:pt x="59039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80" style="width:464.88pt;height:1.44pt;mso-position-horizontal-relative:char;mso-position-vertical-relative:line" coordsize="59039,182">
                <v:shape id="Shape 28486" style="position:absolute;width:59039;height:182;left:0;top:0;" coordsize="5903976,18288" path="m0,0l5903976,0l5903976,18288l0,18288l0,0">
                  <v:stroke weight="0pt" endcap="flat" joinstyle="miter" miterlimit="10" on="false" color="#000000" opacity="0"/>
                  <v:fill on="true" color="#000000"/>
                </v:shape>
              </v:group>
            </w:pict>
          </mc:Fallback>
        </mc:AlternateContent>
      </w:r>
    </w:p>
    <w:p w:rsidR="00B875DD" w:rsidRDefault="006C48F3">
      <w:pPr>
        <w:spacing w:after="168" w:line="259" w:lineRule="auto"/>
        <w:ind w:left="0" w:right="0" w:firstLine="0"/>
      </w:pPr>
      <w:r>
        <w:rPr>
          <w:rFonts w:ascii="黑体" w:eastAsia="黑体" w:hAnsi="黑体" w:cs="黑体"/>
          <w:sz w:val="32"/>
        </w:rPr>
        <w:t xml:space="preserve"> </w:t>
      </w:r>
    </w:p>
    <w:p w:rsidR="00B875DD" w:rsidRDefault="006C48F3">
      <w:pPr>
        <w:spacing w:after="0" w:line="259" w:lineRule="auto"/>
        <w:ind w:left="3149" w:right="0" w:firstLine="0"/>
      </w:pPr>
      <w:r>
        <w:rPr>
          <w:rFonts w:ascii="黑体" w:eastAsia="黑体" w:hAnsi="黑体" w:cs="黑体"/>
          <w:sz w:val="32"/>
        </w:rPr>
        <w:t xml:space="preserve">                               </w:t>
      </w:r>
      <w:r>
        <w:rPr>
          <w:rFonts w:ascii="黑体" w:eastAsia="黑体" w:hAnsi="黑体" w:cs="黑体"/>
          <w:sz w:val="36"/>
        </w:rPr>
        <w:t xml:space="preserve"> </w:t>
      </w:r>
    </w:p>
    <w:p w:rsidR="001A0A8C" w:rsidRDefault="006C48F3" w:rsidP="001A0A8C">
      <w:pPr>
        <w:spacing w:after="57" w:line="216" w:lineRule="auto"/>
        <w:ind w:left="338" w:right="0" w:firstLineChars="400" w:firstLine="1280"/>
      </w:pPr>
      <w:r>
        <w:rPr>
          <w:rFonts w:ascii="黑体" w:eastAsia="黑体" w:hAnsi="黑体" w:cs="黑体"/>
          <w:sz w:val="32"/>
        </w:rPr>
        <w:t>中华人民共和国住房和城乡建设部</w:t>
      </w:r>
      <w:r>
        <w:rPr>
          <w:rFonts w:ascii="Times New Roman" w:eastAsia="Times New Roman" w:hAnsi="Times New Roman" w:cs="Times New Roman"/>
          <w:sz w:val="32"/>
        </w:rPr>
        <w:t xml:space="preserve"> </w:t>
      </w:r>
    </w:p>
    <w:p w:rsidR="00B875DD" w:rsidRDefault="006C48F3" w:rsidP="001A0A8C">
      <w:pPr>
        <w:spacing w:after="57" w:line="216" w:lineRule="auto"/>
        <w:ind w:left="338" w:right="0" w:hanging="10"/>
      </w:pPr>
      <w:r>
        <w:rPr>
          <w:sz w:val="36"/>
        </w:rPr>
        <w:tab/>
      </w:r>
      <w:r>
        <w:rPr>
          <w:rFonts w:ascii="黑体" w:eastAsia="黑体" w:hAnsi="黑体" w:cs="黑体"/>
          <w:sz w:val="32"/>
        </w:rPr>
        <w:t xml:space="preserve">联合发布中华人民共和国质量监督检验检疫总局 </w:t>
      </w:r>
    </w:p>
    <w:p w:rsidR="00B875DD" w:rsidRDefault="006C48F3">
      <w:pPr>
        <w:spacing w:after="0" w:line="259" w:lineRule="auto"/>
        <w:ind w:left="3149" w:right="0" w:firstLine="0"/>
      </w:pPr>
      <w:r>
        <w:rPr>
          <w:sz w:val="36"/>
        </w:rPr>
        <w:t xml:space="preserve"> </w:t>
      </w:r>
    </w:p>
    <w:p w:rsidR="00B875DD" w:rsidRDefault="006C48F3">
      <w:pPr>
        <w:spacing w:after="520" w:line="259" w:lineRule="auto"/>
        <w:ind w:left="1608" w:right="0" w:firstLine="0"/>
      </w:pPr>
      <w:r>
        <w:rPr>
          <w:rFonts w:ascii="Arial" w:eastAsia="Arial" w:hAnsi="Arial" w:cs="Arial"/>
          <w:b/>
        </w:rPr>
        <w:t xml:space="preserve"> </w:t>
      </w:r>
    </w:p>
    <w:p w:rsidR="00B875DD" w:rsidRDefault="006C48F3">
      <w:pPr>
        <w:spacing w:after="0" w:line="259" w:lineRule="auto"/>
        <w:ind w:left="0" w:right="107" w:firstLine="0"/>
        <w:jc w:val="right"/>
      </w:pPr>
      <w:r>
        <w:rPr>
          <w:rFonts w:ascii="Times New Roman" w:eastAsia="Times New Roman" w:hAnsi="Times New Roman" w:cs="Times New Roman"/>
          <w:sz w:val="18"/>
        </w:rPr>
        <w:t xml:space="preserve"> </w:t>
      </w:r>
    </w:p>
    <w:p w:rsidR="00B875DD" w:rsidRDefault="006C48F3">
      <w:pPr>
        <w:spacing w:after="0" w:line="259" w:lineRule="auto"/>
        <w:ind w:left="0" w:right="107" w:firstLine="0"/>
        <w:jc w:val="center"/>
      </w:pPr>
      <w:r>
        <w:rPr>
          <w:rFonts w:ascii="Times New Roman" w:eastAsia="Times New Roman" w:hAnsi="Times New Roman" w:cs="Times New Roman"/>
          <w:sz w:val="18"/>
        </w:rPr>
        <w:t xml:space="preserve"> </w:t>
      </w:r>
    </w:p>
    <w:p w:rsidR="00B875DD" w:rsidRDefault="006C48F3">
      <w:pPr>
        <w:spacing w:after="247" w:line="259" w:lineRule="auto"/>
        <w:ind w:left="1608" w:right="0" w:firstLine="0"/>
      </w:pPr>
      <w:r>
        <w:rPr>
          <w:rFonts w:ascii="Arial" w:eastAsia="Arial" w:hAnsi="Arial" w:cs="Arial"/>
          <w:b/>
        </w:rPr>
        <w:t xml:space="preserve"> </w:t>
      </w:r>
    </w:p>
    <w:p w:rsidR="00B875DD" w:rsidRDefault="006C48F3">
      <w:pPr>
        <w:spacing w:after="92" w:line="259" w:lineRule="auto"/>
        <w:ind w:left="0" w:right="2912" w:firstLine="0"/>
        <w:jc w:val="right"/>
      </w:pPr>
      <w:r>
        <w:rPr>
          <w:rFonts w:ascii="黑体" w:eastAsia="黑体" w:hAnsi="黑体" w:cs="黑体"/>
          <w:sz w:val="36"/>
        </w:rPr>
        <w:lastRenderedPageBreak/>
        <w:t xml:space="preserve">中华人民共和国国家标准 </w:t>
      </w:r>
    </w:p>
    <w:p w:rsidR="00B875DD" w:rsidRDefault="006C48F3">
      <w:pPr>
        <w:spacing w:after="217" w:line="259" w:lineRule="auto"/>
        <w:ind w:left="0" w:right="172" w:firstLine="0"/>
        <w:jc w:val="center"/>
      </w:pPr>
      <w:r>
        <w:rPr>
          <w:rFonts w:ascii="Arial" w:eastAsia="Arial" w:hAnsi="Arial" w:cs="Arial"/>
          <w:b/>
          <w:sz w:val="36"/>
        </w:rPr>
        <w:t xml:space="preserve"> </w:t>
      </w:r>
    </w:p>
    <w:p w:rsidR="00B875DD" w:rsidRDefault="006C48F3">
      <w:pPr>
        <w:spacing w:after="227" w:line="259" w:lineRule="auto"/>
        <w:ind w:left="0" w:right="3084" w:firstLine="0"/>
        <w:jc w:val="right"/>
      </w:pPr>
      <w:r>
        <w:rPr>
          <w:sz w:val="36"/>
        </w:rPr>
        <w:t>建设工程造价咨询规范</w:t>
      </w:r>
      <w:r>
        <w:rPr>
          <w:rFonts w:ascii="Arial" w:eastAsia="Arial" w:hAnsi="Arial" w:cs="Arial"/>
          <w:b/>
          <w:sz w:val="36"/>
        </w:rPr>
        <w:t xml:space="preserve"> </w:t>
      </w:r>
    </w:p>
    <w:p w:rsidR="00B875DD" w:rsidRDefault="006C48F3">
      <w:pPr>
        <w:spacing w:after="373" w:line="259" w:lineRule="auto"/>
        <w:ind w:left="0" w:right="2691" w:firstLine="0"/>
        <w:jc w:val="right"/>
      </w:pPr>
      <w:r>
        <w:rPr>
          <w:rFonts w:ascii="Times New Roman" w:eastAsia="Times New Roman" w:hAnsi="Times New Roman" w:cs="Times New Roman"/>
        </w:rPr>
        <w:t xml:space="preserve">Code for construction cost consultation </w:t>
      </w:r>
    </w:p>
    <w:p w:rsidR="00B875DD" w:rsidRDefault="006C48F3">
      <w:pPr>
        <w:spacing w:after="201" w:line="259" w:lineRule="auto"/>
        <w:ind w:left="0" w:right="182" w:firstLine="0"/>
        <w:jc w:val="center"/>
      </w:pPr>
      <w:r>
        <w:rPr>
          <w:rFonts w:ascii="Times New Roman" w:eastAsia="Times New Roman" w:hAnsi="Times New Roman" w:cs="Times New Roman"/>
          <w:b/>
          <w:sz w:val="36"/>
        </w:rPr>
        <w:t xml:space="preserve"> </w:t>
      </w:r>
    </w:p>
    <w:p w:rsidR="00B875DD" w:rsidRDefault="006C48F3">
      <w:pPr>
        <w:spacing w:after="139" w:line="259" w:lineRule="auto"/>
        <w:ind w:left="3199" w:right="0" w:firstLine="0"/>
      </w:pPr>
      <w:r>
        <w:rPr>
          <w:rFonts w:ascii="Times New Roman" w:eastAsia="Times New Roman" w:hAnsi="Times New Roman" w:cs="Times New Roman"/>
          <w:sz w:val="36"/>
        </w:rPr>
        <w:t>GB</w:t>
      </w:r>
      <w:r>
        <w:rPr>
          <w:rFonts w:ascii="黑体" w:eastAsia="黑体" w:hAnsi="黑体" w:cs="黑体"/>
          <w:sz w:val="36"/>
        </w:rPr>
        <w:t xml:space="preserve">/T 51095-2015 </w:t>
      </w:r>
    </w:p>
    <w:p w:rsidR="00B875DD" w:rsidRDefault="006C48F3">
      <w:pPr>
        <w:spacing w:after="89" w:line="259" w:lineRule="auto"/>
        <w:ind w:left="0" w:right="92" w:firstLine="0"/>
        <w:jc w:val="center"/>
      </w:pPr>
      <w:r>
        <w:rPr>
          <w:rFonts w:ascii="黑体" w:eastAsia="黑体" w:hAnsi="黑体" w:cs="黑体"/>
          <w:sz w:val="36"/>
        </w:rPr>
        <w:t xml:space="preserve"> </w:t>
      </w:r>
    </w:p>
    <w:p w:rsidR="00B875DD" w:rsidRDefault="006C48F3">
      <w:pPr>
        <w:spacing w:after="0" w:line="522" w:lineRule="auto"/>
        <w:ind w:left="415" w:right="584" w:firstLine="0"/>
        <w:jc w:val="center"/>
      </w:pPr>
      <w:r>
        <w:rPr>
          <w:rFonts w:ascii="黑体" w:eastAsia="黑体" w:hAnsi="黑体" w:cs="黑体"/>
          <w:sz w:val="21"/>
        </w:rPr>
        <w:t xml:space="preserve">主编单位：中华人民共和国住房和城乡建设部批准部门：中华人民共和国住房和城乡建设部 </w:t>
      </w:r>
    </w:p>
    <w:p w:rsidR="00B875DD" w:rsidRDefault="006C48F3">
      <w:pPr>
        <w:spacing w:after="298" w:line="259" w:lineRule="auto"/>
        <w:ind w:left="0" w:right="2842" w:firstLine="0"/>
        <w:jc w:val="right"/>
      </w:pPr>
      <w:r>
        <w:rPr>
          <w:rFonts w:ascii="黑体" w:eastAsia="黑体" w:hAnsi="黑体" w:cs="黑体"/>
          <w:sz w:val="21"/>
        </w:rPr>
        <w:t xml:space="preserve">施行日期：  2 0 1 5  年  1 1  月  1  日 </w:t>
      </w:r>
    </w:p>
    <w:p w:rsidR="00B875DD" w:rsidRDefault="006C48F3">
      <w:pPr>
        <w:spacing w:after="301" w:line="259" w:lineRule="auto"/>
        <w:ind w:left="1" w:right="0" w:firstLine="0"/>
      </w:pPr>
      <w:r>
        <w:rPr>
          <w:rFonts w:ascii="黑体" w:eastAsia="黑体" w:hAnsi="黑体" w:cs="黑体"/>
          <w:sz w:val="21"/>
        </w:rPr>
        <w:t xml:space="preserve"> </w:t>
      </w:r>
    </w:p>
    <w:p w:rsidR="00B875DD" w:rsidRDefault="006C48F3">
      <w:pPr>
        <w:spacing w:after="298" w:line="259" w:lineRule="auto"/>
        <w:ind w:left="1" w:right="0" w:firstLine="0"/>
      </w:pPr>
      <w:r>
        <w:rPr>
          <w:rFonts w:ascii="黑体" w:eastAsia="黑体" w:hAnsi="黑体" w:cs="黑体"/>
          <w:sz w:val="21"/>
        </w:rPr>
        <w:t xml:space="preserve"> </w:t>
      </w:r>
    </w:p>
    <w:p w:rsidR="00B875DD" w:rsidRDefault="006C48F3">
      <w:pPr>
        <w:spacing w:after="298" w:line="259" w:lineRule="auto"/>
        <w:ind w:left="1" w:right="0" w:firstLine="0"/>
      </w:pPr>
      <w:r>
        <w:rPr>
          <w:rFonts w:ascii="黑体" w:eastAsia="黑体" w:hAnsi="黑体" w:cs="黑体"/>
          <w:sz w:val="21"/>
        </w:rPr>
        <w:t xml:space="preserve"> </w:t>
      </w:r>
    </w:p>
    <w:p w:rsidR="00B875DD" w:rsidRDefault="006C48F3">
      <w:pPr>
        <w:spacing w:after="301" w:line="259" w:lineRule="auto"/>
        <w:ind w:left="1" w:right="0" w:firstLine="0"/>
      </w:pPr>
      <w:r>
        <w:rPr>
          <w:rFonts w:ascii="黑体" w:eastAsia="黑体" w:hAnsi="黑体" w:cs="黑体"/>
          <w:sz w:val="21"/>
        </w:rPr>
        <w:t xml:space="preserve"> </w:t>
      </w:r>
    </w:p>
    <w:p w:rsidR="00B875DD" w:rsidRDefault="006C48F3">
      <w:pPr>
        <w:spacing w:after="298" w:line="259" w:lineRule="auto"/>
        <w:ind w:left="1" w:right="0" w:firstLine="0"/>
      </w:pPr>
      <w:r>
        <w:rPr>
          <w:rFonts w:ascii="黑体" w:eastAsia="黑体" w:hAnsi="黑体" w:cs="黑体"/>
          <w:sz w:val="21"/>
        </w:rPr>
        <w:t xml:space="preserve"> </w:t>
      </w:r>
    </w:p>
    <w:p w:rsidR="00B875DD" w:rsidRDefault="006C48F3">
      <w:pPr>
        <w:spacing w:after="298" w:line="259" w:lineRule="auto"/>
        <w:ind w:left="3675" w:right="0" w:firstLine="0"/>
      </w:pPr>
      <w:r>
        <w:rPr>
          <w:rFonts w:ascii="黑体" w:eastAsia="黑体" w:hAnsi="黑体" w:cs="黑体"/>
          <w:sz w:val="21"/>
        </w:rPr>
        <w:t xml:space="preserve">中国建筑工业出版社 </w:t>
      </w:r>
    </w:p>
    <w:p w:rsidR="00B875DD" w:rsidRDefault="006C48F3">
      <w:pPr>
        <w:spacing w:after="0" w:line="259" w:lineRule="auto"/>
        <w:ind w:left="0" w:right="268" w:firstLine="0"/>
        <w:jc w:val="center"/>
      </w:pPr>
      <w:r>
        <w:rPr>
          <w:rFonts w:ascii="黑体" w:eastAsia="黑体" w:hAnsi="黑体" w:cs="黑体"/>
          <w:sz w:val="21"/>
        </w:rPr>
        <w:t xml:space="preserve">2015.北京 </w:t>
      </w:r>
    </w:p>
    <w:p w:rsidR="00B875DD" w:rsidRDefault="006C48F3">
      <w:pPr>
        <w:spacing w:after="0" w:line="259" w:lineRule="auto"/>
        <w:ind w:left="0" w:right="0" w:firstLine="0"/>
        <w:jc w:val="both"/>
      </w:pPr>
      <w:r>
        <w:rPr>
          <w:rFonts w:ascii="黑体" w:eastAsia="黑体" w:hAnsi="黑体" w:cs="黑体"/>
          <w:sz w:val="21"/>
        </w:rPr>
        <w:t xml:space="preserve"> </w:t>
      </w:r>
      <w:r>
        <w:br w:type="page"/>
      </w:r>
    </w:p>
    <w:p w:rsidR="00B875DD" w:rsidRDefault="006C48F3">
      <w:pPr>
        <w:spacing w:after="219" w:line="259" w:lineRule="auto"/>
        <w:ind w:left="0" w:right="0" w:firstLine="0"/>
      </w:pPr>
      <w:r>
        <w:rPr>
          <w:rFonts w:ascii="黑体" w:eastAsia="黑体" w:hAnsi="黑体" w:cs="黑体"/>
          <w:sz w:val="32"/>
        </w:rPr>
        <w:lastRenderedPageBreak/>
        <w:t xml:space="preserve"> </w:t>
      </w:r>
    </w:p>
    <w:p w:rsidR="00B875DD" w:rsidRDefault="006C48F3">
      <w:pPr>
        <w:spacing w:after="175" w:line="259" w:lineRule="auto"/>
        <w:ind w:left="0" w:right="275" w:firstLine="0"/>
        <w:jc w:val="center"/>
      </w:pPr>
      <w:r>
        <w:rPr>
          <w:rFonts w:ascii="黑体" w:eastAsia="黑体" w:hAnsi="黑体" w:cs="黑体"/>
          <w:color w:val="FF0000"/>
          <w:sz w:val="32"/>
        </w:rPr>
        <w:t xml:space="preserve">中华人民共和国住房和城乡建设部 </w:t>
      </w:r>
    </w:p>
    <w:p w:rsidR="00B875DD" w:rsidRDefault="006C48F3">
      <w:pPr>
        <w:spacing w:after="0" w:line="280" w:lineRule="auto"/>
        <w:ind w:left="4620" w:right="4173" w:hanging="562"/>
      </w:pPr>
      <w:r>
        <w:rPr>
          <w:rFonts w:ascii="黑体" w:eastAsia="黑体" w:hAnsi="黑体" w:cs="黑体"/>
          <w:color w:val="FF0000"/>
          <w:sz w:val="32"/>
        </w:rPr>
        <w:t xml:space="preserve">公   告 </w:t>
      </w:r>
      <w:r>
        <w:rPr>
          <w:rFonts w:ascii="黑体" w:eastAsia="黑体" w:hAnsi="黑体" w:cs="黑体"/>
          <w:sz w:val="44"/>
        </w:rPr>
        <w:t xml:space="preserve"> </w:t>
      </w:r>
    </w:p>
    <w:p w:rsidR="00B875DD" w:rsidRDefault="006C48F3">
      <w:pPr>
        <w:pStyle w:val="3"/>
      </w:pPr>
      <w:r>
        <w:t xml:space="preserve">第 771 号 </w:t>
      </w:r>
    </w:p>
    <w:p w:rsidR="00B875DD" w:rsidRDefault="006C48F3">
      <w:pPr>
        <w:spacing w:after="91" w:line="259" w:lineRule="auto"/>
        <w:ind w:left="-29" w:right="0" w:firstLine="0"/>
      </w:pPr>
      <w:r>
        <w:rPr>
          <w:rFonts w:ascii="Calibri" w:eastAsia="Calibri" w:hAnsi="Calibri" w:cs="Calibri"/>
          <w:noProof/>
          <w:sz w:val="22"/>
        </w:rPr>
        <mc:AlternateContent>
          <mc:Choice Requires="wpg">
            <w:drawing>
              <wp:inline distT="0" distB="0" distL="0" distR="0">
                <wp:extent cx="5903989" cy="9144"/>
                <wp:effectExtent l="0" t="0" r="0" b="0"/>
                <wp:docPr id="21077" name="Group 21077"/>
                <wp:cNvGraphicFramePr/>
                <a:graphic xmlns:a="http://schemas.openxmlformats.org/drawingml/2006/main">
                  <a:graphicData uri="http://schemas.microsoft.com/office/word/2010/wordprocessingGroup">
                    <wpg:wgp>
                      <wpg:cNvGrpSpPr/>
                      <wpg:grpSpPr>
                        <a:xfrm>
                          <a:off x="0" y="0"/>
                          <a:ext cx="5903989" cy="9144"/>
                          <a:chOff x="0" y="0"/>
                          <a:chExt cx="5903989" cy="9144"/>
                        </a:xfrm>
                      </wpg:grpSpPr>
                      <wps:wsp>
                        <wps:cNvPr id="28487" name="Shape 28487"/>
                        <wps:cNvSpPr/>
                        <wps:spPr>
                          <a:xfrm>
                            <a:off x="0" y="0"/>
                            <a:ext cx="5903989" cy="9144"/>
                          </a:xfrm>
                          <a:custGeom>
                            <a:avLst/>
                            <a:gdLst/>
                            <a:ahLst/>
                            <a:cxnLst/>
                            <a:rect l="0" t="0" r="0" b="0"/>
                            <a:pathLst>
                              <a:path w="5903989" h="9144">
                                <a:moveTo>
                                  <a:pt x="0" y="0"/>
                                </a:moveTo>
                                <a:lnTo>
                                  <a:pt x="5903989" y="0"/>
                                </a:lnTo>
                                <a:lnTo>
                                  <a:pt x="59039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1077" style="width:464.881pt;height:0.719971pt;mso-position-horizontal-relative:char;mso-position-vertical-relative:line" coordsize="59039,91">
                <v:shape id="Shape 28488" style="position:absolute;width:59039;height:91;left:0;top:0;" coordsize="5903989,9144" path="m0,0l5903989,0l5903989,9144l0,9144l0,0">
                  <v:stroke weight="0pt" endcap="flat" joinstyle="miter" miterlimit="10" on="false" color="#000000" opacity="0"/>
                  <v:fill on="true" color="#000000"/>
                </v:shape>
              </v:group>
            </w:pict>
          </mc:Fallback>
        </mc:AlternateContent>
      </w:r>
    </w:p>
    <w:p w:rsidR="00B875DD" w:rsidRDefault="006C48F3">
      <w:pPr>
        <w:spacing w:after="0" w:line="259" w:lineRule="auto"/>
        <w:ind w:left="0" w:right="53" w:firstLine="0"/>
        <w:jc w:val="center"/>
      </w:pPr>
      <w:r>
        <w:rPr>
          <w:rFonts w:ascii="黑体" w:eastAsia="黑体" w:hAnsi="黑体" w:cs="黑体"/>
          <w:sz w:val="44"/>
        </w:rPr>
        <w:t xml:space="preserve"> </w:t>
      </w:r>
    </w:p>
    <w:p w:rsidR="00B875DD" w:rsidRDefault="006C48F3">
      <w:pPr>
        <w:spacing w:after="229" w:line="259" w:lineRule="auto"/>
        <w:ind w:left="325" w:right="585" w:hanging="10"/>
        <w:jc w:val="center"/>
      </w:pPr>
      <w:r>
        <w:t xml:space="preserve">住房和城乡建设部关于发布国家标准 </w:t>
      </w:r>
    </w:p>
    <w:p w:rsidR="00B875DD" w:rsidRDefault="006C48F3">
      <w:pPr>
        <w:pStyle w:val="4"/>
        <w:spacing w:after="337"/>
        <w:ind w:left="325" w:right="584" w:hanging="10"/>
      </w:pPr>
      <w:r>
        <w:rPr>
          <w:color w:val="000000"/>
        </w:rPr>
        <w:t xml:space="preserve">《建设工程造价咨询规范》的公告 </w:t>
      </w:r>
    </w:p>
    <w:p w:rsidR="00B875DD" w:rsidRDefault="006C48F3">
      <w:pPr>
        <w:spacing w:after="450" w:line="353" w:lineRule="auto"/>
        <w:ind w:left="-5" w:right="152" w:hanging="10"/>
      </w:pPr>
      <w:r>
        <w:rPr>
          <w:sz w:val="24"/>
        </w:rPr>
        <w:t xml:space="preserve">     现批准《建设工程造价咨询规范》为国家标准，编号为GB/T51095-2015，自2015 年11月1日起实施。      本规范由我部标准定额研究所组织中国建筑工业出版社出版发行。 </w:t>
      </w:r>
    </w:p>
    <w:p w:rsidR="00B875DD" w:rsidRDefault="006C48F3">
      <w:pPr>
        <w:spacing w:after="599" w:line="259" w:lineRule="auto"/>
        <w:ind w:left="0" w:right="0" w:firstLine="0"/>
      </w:pPr>
      <w:r>
        <w:rPr>
          <w:sz w:val="24"/>
        </w:rPr>
        <w:t xml:space="preserve"> </w:t>
      </w:r>
    </w:p>
    <w:p w:rsidR="00B875DD" w:rsidRDefault="006C48F3">
      <w:pPr>
        <w:spacing w:after="599" w:line="259" w:lineRule="auto"/>
        <w:ind w:left="0" w:right="0" w:firstLine="0"/>
      </w:pPr>
      <w:r>
        <w:rPr>
          <w:sz w:val="24"/>
        </w:rPr>
        <w:t xml:space="preserve">                                      </w:t>
      </w:r>
    </w:p>
    <w:p w:rsidR="00B875DD" w:rsidRDefault="006C48F3">
      <w:pPr>
        <w:spacing w:after="785" w:line="353" w:lineRule="auto"/>
        <w:ind w:left="-5" w:right="152" w:hanging="10"/>
      </w:pPr>
      <w:r>
        <w:rPr>
          <w:sz w:val="24"/>
        </w:rPr>
        <w:t xml:space="preserve">                        中华人民共和国住房城乡建设部 </w:t>
      </w:r>
    </w:p>
    <w:p w:rsidR="00B875DD" w:rsidRDefault="006C48F3">
      <w:pPr>
        <w:spacing w:after="750" w:line="259" w:lineRule="auto"/>
        <w:ind w:left="0" w:right="0" w:firstLine="0"/>
      </w:pPr>
      <w:r>
        <w:rPr>
          <w:sz w:val="24"/>
        </w:rPr>
        <w:t xml:space="preserve">                            2015年3月8日</w:t>
      </w:r>
      <w:r>
        <w:rPr>
          <w:sz w:val="18"/>
        </w:rPr>
        <w:t xml:space="preserve">  </w:t>
      </w:r>
    </w:p>
    <w:p w:rsidR="00B875DD" w:rsidRDefault="006C48F3">
      <w:pPr>
        <w:spacing w:after="0" w:line="259" w:lineRule="auto"/>
        <w:ind w:left="0" w:right="113" w:firstLine="0"/>
        <w:jc w:val="center"/>
      </w:pPr>
      <w:r>
        <w:rPr>
          <w:rFonts w:ascii="黑体" w:eastAsia="黑体" w:hAnsi="黑体" w:cs="黑体"/>
          <w:sz w:val="32"/>
        </w:rPr>
        <w:t xml:space="preserve"> </w:t>
      </w:r>
    </w:p>
    <w:p w:rsidR="00B875DD" w:rsidRDefault="006C48F3">
      <w:pPr>
        <w:spacing w:after="0" w:line="259" w:lineRule="auto"/>
        <w:ind w:left="0" w:right="0" w:firstLine="0"/>
        <w:jc w:val="right"/>
      </w:pPr>
      <w:r>
        <w:rPr>
          <w:noProof/>
        </w:rPr>
        <w:lastRenderedPageBreak/>
        <w:drawing>
          <wp:inline distT="0" distB="0" distL="0" distR="0">
            <wp:extent cx="5939155" cy="7308849"/>
            <wp:effectExtent l="0" t="0" r="0" b="0"/>
            <wp:docPr id="269" name="Picture 269"/>
            <wp:cNvGraphicFramePr/>
            <a:graphic xmlns:a="http://schemas.openxmlformats.org/drawingml/2006/main">
              <a:graphicData uri="http://schemas.openxmlformats.org/drawingml/2006/picture">
                <pic:pic xmlns:pic="http://schemas.openxmlformats.org/drawingml/2006/picture">
                  <pic:nvPicPr>
                    <pic:cNvPr id="269" name="Picture 269"/>
                    <pic:cNvPicPr/>
                  </pic:nvPicPr>
                  <pic:blipFill>
                    <a:blip r:embed="rId8"/>
                    <a:stretch>
                      <a:fillRect/>
                    </a:stretch>
                  </pic:blipFill>
                  <pic:spPr>
                    <a:xfrm>
                      <a:off x="0" y="0"/>
                      <a:ext cx="5939155" cy="7308849"/>
                    </a:xfrm>
                    <a:prstGeom prst="rect">
                      <a:avLst/>
                    </a:prstGeom>
                  </pic:spPr>
                </pic:pic>
              </a:graphicData>
            </a:graphic>
          </wp:inline>
        </w:drawing>
      </w:r>
      <w:r>
        <w:rPr>
          <w:rFonts w:ascii="黑体" w:eastAsia="黑体" w:hAnsi="黑体" w:cs="黑体"/>
          <w:sz w:val="32"/>
        </w:rPr>
        <w:t xml:space="preserve"> </w:t>
      </w:r>
    </w:p>
    <w:p w:rsidR="00B875DD" w:rsidRDefault="006C48F3">
      <w:pPr>
        <w:spacing w:after="0" w:line="259" w:lineRule="auto"/>
        <w:ind w:left="4620" w:right="0" w:firstLine="0"/>
      </w:pPr>
      <w:r>
        <w:rPr>
          <w:rFonts w:ascii="黑体" w:eastAsia="黑体" w:hAnsi="黑体" w:cs="黑体"/>
          <w:sz w:val="32"/>
        </w:rPr>
        <w:t xml:space="preserve"> </w:t>
      </w:r>
    </w:p>
    <w:p w:rsidR="00B875DD" w:rsidRDefault="006C48F3">
      <w:pPr>
        <w:pStyle w:val="3"/>
        <w:spacing w:after="104"/>
        <w:ind w:right="272"/>
      </w:pPr>
      <w:r>
        <w:rPr>
          <w:sz w:val="30"/>
        </w:rPr>
        <w:t xml:space="preserve">前  言 </w:t>
      </w:r>
    </w:p>
    <w:p w:rsidR="00B875DD" w:rsidRDefault="006C48F3">
      <w:pPr>
        <w:spacing w:after="131" w:line="259" w:lineRule="auto"/>
        <w:ind w:left="0" w:right="152" w:firstLine="0"/>
        <w:jc w:val="right"/>
      </w:pPr>
      <w:r>
        <w:rPr>
          <w:sz w:val="24"/>
        </w:rPr>
        <w:t>根据住房和城乡建设部《关于印发2012年工程建设标准规范制订、修订计划的通知》</w:t>
      </w:r>
    </w:p>
    <w:p w:rsidR="00B875DD" w:rsidRDefault="006C48F3">
      <w:pPr>
        <w:spacing w:line="353" w:lineRule="auto"/>
        <w:ind w:left="-5" w:right="152" w:hanging="10"/>
      </w:pPr>
      <w:r>
        <w:rPr>
          <w:sz w:val="24"/>
        </w:rPr>
        <w:lastRenderedPageBreak/>
        <w:t xml:space="preserve">(建标[2012]5号)的要求，规范编制组经广泛调查研究，认真总结实践经验，参考有关国际标准和国外先进标准，并在广泛征求意见的基础上，编制本规范。 </w:t>
      </w:r>
    </w:p>
    <w:p w:rsidR="00B875DD" w:rsidRDefault="006C48F3">
      <w:pPr>
        <w:spacing w:line="353" w:lineRule="auto"/>
        <w:ind w:left="-15" w:right="152" w:firstLine="480"/>
      </w:pPr>
      <w:r>
        <w:rPr>
          <w:sz w:val="24"/>
        </w:rPr>
        <w:t xml:space="preserve">本规范共分9章和9哥附录，主要技术内容是：总则，术语，基本规定，决策阶段、设计阶段、发承包阶段、实施阶段、竣工阶段、工程造价鉴定等。 </w:t>
      </w:r>
    </w:p>
    <w:p w:rsidR="00B875DD" w:rsidRDefault="006C48F3">
      <w:pPr>
        <w:spacing w:line="353" w:lineRule="auto"/>
        <w:ind w:left="-15" w:right="152" w:firstLine="480"/>
      </w:pPr>
      <w:r>
        <w:rPr>
          <w:sz w:val="24"/>
        </w:rPr>
        <w:t xml:space="preserve">本规范住房和城乡建设部负责管理，由中国建设工程造价管理协会负责具体技术内容的解释。执行过程中如有意见或建议，请寄送中国建设工程造价管理协会（地址：北京市海淀区三里河路9号，邮编：100835）。 </w:t>
      </w:r>
    </w:p>
    <w:p w:rsidR="00B875DD" w:rsidRDefault="006C48F3">
      <w:pPr>
        <w:spacing w:line="353" w:lineRule="auto"/>
        <w:ind w:left="490" w:right="152" w:hanging="10"/>
      </w:pPr>
      <w:r>
        <w:rPr>
          <w:sz w:val="24"/>
        </w:rPr>
        <w:t xml:space="preserve">本规范主编单位：中国建设工程造价管理协会本规范参编单位：国家建筑材料工业标准定额总站 </w:t>
      </w:r>
    </w:p>
    <w:p w:rsidR="00B875DD" w:rsidRDefault="006C48F3">
      <w:pPr>
        <w:spacing w:after="131" w:line="259" w:lineRule="auto"/>
        <w:ind w:left="2420" w:right="152" w:hanging="10"/>
      </w:pPr>
      <w:r>
        <w:rPr>
          <w:sz w:val="24"/>
        </w:rPr>
        <w:t xml:space="preserve">上海建经投资咨询有限公司 </w:t>
      </w:r>
    </w:p>
    <w:p w:rsidR="00B875DD" w:rsidRDefault="006C48F3">
      <w:pPr>
        <w:spacing w:line="353" w:lineRule="auto"/>
        <w:ind w:left="2420" w:right="503" w:hanging="10"/>
      </w:pPr>
      <w:r>
        <w:rPr>
          <w:sz w:val="24"/>
        </w:rPr>
        <w:t xml:space="preserve">上海第一测量师事务所有限公司电力工程造价与定额管理总站 </w:t>
      </w:r>
    </w:p>
    <w:p w:rsidR="00B875DD" w:rsidRDefault="006C48F3">
      <w:pPr>
        <w:spacing w:line="353" w:lineRule="auto"/>
        <w:ind w:left="2420" w:right="983" w:hanging="10"/>
      </w:pPr>
      <w:r>
        <w:rPr>
          <w:sz w:val="24"/>
        </w:rPr>
        <w:t xml:space="preserve">北京希地环球建设工程顾问有限公司湖北分公司北京金马威工程造价咨询有限公司中联造价咨询有限公司 </w:t>
      </w:r>
    </w:p>
    <w:p w:rsidR="00B875DD" w:rsidRDefault="006C48F3">
      <w:pPr>
        <w:spacing w:line="353" w:lineRule="auto"/>
        <w:ind w:left="2420" w:right="743" w:hanging="10"/>
      </w:pPr>
      <w:r>
        <w:rPr>
          <w:sz w:val="24"/>
        </w:rPr>
        <w:t xml:space="preserve">广东中量工程投资咨询有限公司北京红日工程造价咨询有限公司昆明新迪工程造价咨询有限公司北京求实工程管理有限公司 </w:t>
      </w:r>
    </w:p>
    <w:p w:rsidR="00B875DD" w:rsidRDefault="006C48F3">
      <w:pPr>
        <w:spacing w:after="52" w:line="259" w:lineRule="auto"/>
        <w:ind w:left="2420" w:right="152" w:hanging="10"/>
      </w:pPr>
      <w:r>
        <w:rPr>
          <w:sz w:val="24"/>
        </w:rPr>
        <w:t xml:space="preserve">天津市建设工程造价咨询有限公司 </w:t>
      </w:r>
    </w:p>
    <w:p w:rsidR="00B875DD" w:rsidRDefault="006C48F3">
      <w:pPr>
        <w:spacing w:line="240" w:lineRule="auto"/>
        <w:ind w:left="2976" w:right="2576" w:hanging="2496"/>
      </w:pPr>
      <w:r>
        <w:rPr>
          <w:sz w:val="24"/>
        </w:rPr>
        <w:t xml:space="preserve">本规范主要起草人员： 吴佐民  王建忠  陈  东  朱  坚  董士波  恽其鋆  舒  宇  陈光云朱宝瑞  周和生  李海泉  徐小峥钟  泉  陈  静  吴晓宏  杨连仓周  霞  李  骏  朱毓菁  王应龙王  毅 </w:t>
      </w:r>
    </w:p>
    <w:p w:rsidR="00B875DD" w:rsidRDefault="006C48F3">
      <w:pPr>
        <w:spacing w:line="240" w:lineRule="auto"/>
        <w:ind w:left="2954" w:right="2192" w:hanging="2474"/>
      </w:pPr>
      <w:r>
        <w:rPr>
          <w:sz w:val="24"/>
        </w:rPr>
        <w:t xml:space="preserve">本规范主要审查人：  谢洪学  王中和  唐榕辉  黄成刚金铁英  马  军  陈  彪  张  超郭怀君 </w:t>
      </w:r>
    </w:p>
    <w:p w:rsidR="00B875DD" w:rsidRDefault="006C48F3">
      <w:pPr>
        <w:spacing w:after="0" w:line="259" w:lineRule="auto"/>
        <w:ind w:left="0" w:right="0" w:firstLine="0"/>
        <w:jc w:val="both"/>
      </w:pPr>
      <w:r>
        <w:rPr>
          <w:sz w:val="24"/>
        </w:rPr>
        <w:t xml:space="preserve"> </w:t>
      </w:r>
      <w:r>
        <w:br w:type="page"/>
      </w:r>
    </w:p>
    <w:p w:rsidR="00B875DD" w:rsidRDefault="006C48F3">
      <w:pPr>
        <w:spacing w:after="635" w:line="259" w:lineRule="auto"/>
        <w:ind w:left="0" w:right="0" w:firstLine="0"/>
      </w:pPr>
      <w:r>
        <w:rPr>
          <w:sz w:val="24"/>
        </w:rPr>
        <w:lastRenderedPageBreak/>
        <w:t xml:space="preserve"> </w:t>
      </w:r>
    </w:p>
    <w:p w:rsidR="00B875DD" w:rsidRDefault="006C48F3">
      <w:pPr>
        <w:pStyle w:val="4"/>
      </w:pPr>
      <w:r>
        <w:t>目</w:t>
      </w:r>
      <w:r>
        <w:rPr>
          <w:rFonts w:ascii="Cambria" w:eastAsia="Cambria" w:hAnsi="Cambria" w:cs="Cambria"/>
          <w:b/>
        </w:rPr>
        <w:t xml:space="preserve">  </w:t>
      </w:r>
      <w:r>
        <w:t>次</w:t>
      </w:r>
      <w:r>
        <w:rPr>
          <w:rFonts w:ascii="Cambria" w:eastAsia="Cambria" w:hAnsi="Cambria" w:cs="Cambria"/>
          <w:b/>
        </w:rPr>
        <w:t xml:space="preserve"> </w:t>
      </w:r>
    </w:p>
    <w:sdt>
      <w:sdtPr>
        <w:rPr>
          <w:rFonts w:ascii="宋体" w:eastAsia="宋体" w:hAnsi="宋体" w:cs="宋体"/>
          <w:sz w:val="28"/>
        </w:rPr>
        <w:id w:val="1032998249"/>
        <w:docPartObj>
          <w:docPartGallery w:val="Table of Contents"/>
        </w:docPartObj>
      </w:sdtPr>
      <w:sdtEndPr/>
      <w:sdtContent>
        <w:p w:rsidR="00B875DD" w:rsidRDefault="006C48F3">
          <w:pPr>
            <w:pStyle w:val="11"/>
            <w:tabs>
              <w:tab w:val="right" w:leader="dot" w:pos="9512"/>
            </w:tabs>
          </w:pPr>
          <w:r>
            <w:fldChar w:fldCharType="begin"/>
          </w:r>
          <w:r>
            <w:instrText xml:space="preserve"> TOC \o "1-2" \h \z \u </w:instrText>
          </w:r>
          <w:r>
            <w:fldChar w:fldCharType="separate"/>
          </w:r>
          <w:hyperlink w:anchor="_Toc28334">
            <w:r>
              <w:t xml:space="preserve">1 </w:t>
            </w:r>
            <w:r>
              <w:rPr>
                <w:rFonts w:ascii="宋体" w:eastAsia="宋体" w:hAnsi="宋体" w:cs="宋体"/>
              </w:rPr>
              <w:t>总</w:t>
            </w:r>
            <w:r>
              <w:t xml:space="preserve">    </w:t>
            </w:r>
            <w:r>
              <w:rPr>
                <w:rFonts w:ascii="宋体" w:eastAsia="宋体" w:hAnsi="宋体" w:cs="宋体"/>
              </w:rPr>
              <w:t>则</w:t>
            </w:r>
            <w:r>
              <w:tab/>
            </w:r>
            <w:r>
              <w:fldChar w:fldCharType="begin"/>
            </w:r>
            <w:r>
              <w:instrText>PAGEREF _Toc28334 \h</w:instrText>
            </w:r>
            <w:r>
              <w:fldChar w:fldCharType="separate"/>
            </w:r>
            <w:r>
              <w:t xml:space="preserve">10 </w:t>
            </w:r>
            <w:r>
              <w:fldChar w:fldCharType="end"/>
            </w:r>
          </w:hyperlink>
        </w:p>
        <w:p w:rsidR="00B875DD" w:rsidRDefault="00A07A41">
          <w:pPr>
            <w:pStyle w:val="11"/>
            <w:tabs>
              <w:tab w:val="right" w:leader="dot" w:pos="9512"/>
            </w:tabs>
          </w:pPr>
          <w:hyperlink w:anchor="_Toc28335">
            <w:r w:rsidR="006C48F3">
              <w:t xml:space="preserve">2 </w:t>
            </w:r>
            <w:r w:rsidR="006C48F3">
              <w:rPr>
                <w:rFonts w:ascii="宋体" w:eastAsia="宋体" w:hAnsi="宋体" w:cs="宋体"/>
              </w:rPr>
              <w:t>术</w:t>
            </w:r>
            <w:r w:rsidR="006C48F3">
              <w:t xml:space="preserve">    </w:t>
            </w:r>
            <w:r w:rsidR="006C48F3">
              <w:rPr>
                <w:rFonts w:ascii="宋体" w:eastAsia="宋体" w:hAnsi="宋体" w:cs="宋体"/>
              </w:rPr>
              <w:t>语</w:t>
            </w:r>
            <w:r w:rsidR="006C48F3">
              <w:tab/>
            </w:r>
            <w:r w:rsidR="006C48F3">
              <w:fldChar w:fldCharType="begin"/>
            </w:r>
            <w:r w:rsidR="006C48F3">
              <w:instrText>PAGEREF _Toc28335 \h</w:instrText>
            </w:r>
            <w:r w:rsidR="006C48F3">
              <w:fldChar w:fldCharType="separate"/>
            </w:r>
            <w:r w:rsidR="006C48F3">
              <w:t xml:space="preserve">11 </w:t>
            </w:r>
            <w:r w:rsidR="006C48F3">
              <w:fldChar w:fldCharType="end"/>
            </w:r>
          </w:hyperlink>
        </w:p>
        <w:p w:rsidR="00B875DD" w:rsidRDefault="00A07A41">
          <w:pPr>
            <w:pStyle w:val="11"/>
            <w:tabs>
              <w:tab w:val="right" w:leader="dot" w:pos="9512"/>
            </w:tabs>
          </w:pPr>
          <w:hyperlink w:anchor="_Toc28336">
            <w:r w:rsidR="006C48F3">
              <w:t xml:space="preserve">3 </w:t>
            </w:r>
            <w:r w:rsidR="006C48F3">
              <w:rPr>
                <w:rFonts w:ascii="宋体" w:eastAsia="宋体" w:hAnsi="宋体" w:cs="宋体"/>
              </w:rPr>
              <w:t>基本规定</w:t>
            </w:r>
            <w:r w:rsidR="006C48F3">
              <w:tab/>
            </w:r>
            <w:r w:rsidR="006C48F3">
              <w:fldChar w:fldCharType="begin"/>
            </w:r>
            <w:r w:rsidR="006C48F3">
              <w:instrText>PAGEREF _Toc28336 \h</w:instrText>
            </w:r>
            <w:r w:rsidR="006C48F3">
              <w:fldChar w:fldCharType="separate"/>
            </w:r>
            <w:r w:rsidR="006C48F3">
              <w:t xml:space="preserve">13 </w:t>
            </w:r>
            <w:r w:rsidR="006C48F3">
              <w:fldChar w:fldCharType="end"/>
            </w:r>
          </w:hyperlink>
        </w:p>
        <w:p w:rsidR="00B875DD" w:rsidRDefault="00A07A41">
          <w:pPr>
            <w:pStyle w:val="21"/>
            <w:tabs>
              <w:tab w:val="right" w:leader="dot" w:pos="9512"/>
            </w:tabs>
          </w:pPr>
          <w:hyperlink w:anchor="_Toc28337">
            <w:r w:rsidR="006C48F3">
              <w:t xml:space="preserve">3.1 </w:t>
            </w:r>
            <w:r w:rsidR="006C48F3">
              <w:rPr>
                <w:rFonts w:ascii="宋体" w:eastAsia="宋体" w:hAnsi="宋体" w:cs="宋体"/>
              </w:rPr>
              <w:t>业务范围和一般要求</w:t>
            </w:r>
            <w:r w:rsidR="006C48F3">
              <w:tab/>
            </w:r>
            <w:r w:rsidR="006C48F3">
              <w:fldChar w:fldCharType="begin"/>
            </w:r>
            <w:r w:rsidR="006C48F3">
              <w:instrText>PAGEREF _Toc28337 \h</w:instrText>
            </w:r>
            <w:r w:rsidR="006C48F3">
              <w:fldChar w:fldCharType="separate"/>
            </w:r>
            <w:r w:rsidR="006C48F3">
              <w:t xml:space="preserve">13 </w:t>
            </w:r>
            <w:r w:rsidR="006C48F3">
              <w:fldChar w:fldCharType="end"/>
            </w:r>
          </w:hyperlink>
        </w:p>
        <w:p w:rsidR="00B875DD" w:rsidRDefault="00A07A41">
          <w:pPr>
            <w:pStyle w:val="21"/>
            <w:tabs>
              <w:tab w:val="right" w:leader="dot" w:pos="9512"/>
            </w:tabs>
          </w:pPr>
          <w:hyperlink w:anchor="_Toc28338">
            <w:r w:rsidR="006C48F3">
              <w:t xml:space="preserve">3.2 </w:t>
            </w:r>
            <w:r w:rsidR="006C48F3">
              <w:rPr>
                <w:rFonts w:ascii="宋体" w:eastAsia="宋体" w:hAnsi="宋体" w:cs="宋体"/>
              </w:rPr>
              <w:t>组织管理</w:t>
            </w:r>
            <w:r w:rsidR="006C48F3">
              <w:tab/>
            </w:r>
            <w:r w:rsidR="006C48F3">
              <w:fldChar w:fldCharType="begin"/>
            </w:r>
            <w:r w:rsidR="006C48F3">
              <w:instrText>PAGEREF _Toc28338 \h</w:instrText>
            </w:r>
            <w:r w:rsidR="006C48F3">
              <w:fldChar w:fldCharType="separate"/>
            </w:r>
            <w:r w:rsidR="006C48F3">
              <w:t xml:space="preserve">16 </w:t>
            </w:r>
            <w:r w:rsidR="006C48F3">
              <w:fldChar w:fldCharType="end"/>
            </w:r>
          </w:hyperlink>
        </w:p>
        <w:p w:rsidR="00B875DD" w:rsidRDefault="00A07A41">
          <w:pPr>
            <w:pStyle w:val="21"/>
            <w:tabs>
              <w:tab w:val="right" w:leader="dot" w:pos="9512"/>
            </w:tabs>
          </w:pPr>
          <w:hyperlink w:anchor="_Toc28339">
            <w:r w:rsidR="006C48F3">
              <w:t xml:space="preserve">3.3 </w:t>
            </w:r>
            <w:r w:rsidR="006C48F3">
              <w:rPr>
                <w:rFonts w:ascii="宋体" w:eastAsia="宋体" w:hAnsi="宋体" w:cs="宋体"/>
              </w:rPr>
              <w:t>质量管理</w:t>
            </w:r>
            <w:r w:rsidR="006C48F3">
              <w:tab/>
            </w:r>
            <w:r w:rsidR="006C48F3">
              <w:fldChar w:fldCharType="begin"/>
            </w:r>
            <w:r w:rsidR="006C48F3">
              <w:instrText>PAGEREF _Toc28339 \h</w:instrText>
            </w:r>
            <w:r w:rsidR="006C48F3">
              <w:fldChar w:fldCharType="separate"/>
            </w:r>
            <w:r w:rsidR="006C48F3">
              <w:t xml:space="preserve">18 </w:t>
            </w:r>
            <w:r w:rsidR="006C48F3">
              <w:fldChar w:fldCharType="end"/>
            </w:r>
          </w:hyperlink>
        </w:p>
        <w:p w:rsidR="00B875DD" w:rsidRDefault="00A07A41">
          <w:pPr>
            <w:pStyle w:val="21"/>
            <w:tabs>
              <w:tab w:val="right" w:leader="dot" w:pos="9512"/>
            </w:tabs>
          </w:pPr>
          <w:hyperlink w:anchor="_Toc28340">
            <w:r w:rsidR="006C48F3">
              <w:t xml:space="preserve">3.4 </w:t>
            </w:r>
            <w:r w:rsidR="006C48F3">
              <w:rPr>
                <w:rFonts w:ascii="宋体" w:eastAsia="宋体" w:hAnsi="宋体" w:cs="宋体"/>
              </w:rPr>
              <w:t>档案管理</w:t>
            </w:r>
            <w:r w:rsidR="006C48F3">
              <w:tab/>
            </w:r>
            <w:r w:rsidR="006C48F3">
              <w:fldChar w:fldCharType="begin"/>
            </w:r>
            <w:r w:rsidR="006C48F3">
              <w:instrText>PAGEREF _Toc28340 \h</w:instrText>
            </w:r>
            <w:r w:rsidR="006C48F3">
              <w:fldChar w:fldCharType="separate"/>
            </w:r>
            <w:r w:rsidR="006C48F3">
              <w:t xml:space="preserve">19 </w:t>
            </w:r>
            <w:r w:rsidR="006C48F3">
              <w:fldChar w:fldCharType="end"/>
            </w:r>
          </w:hyperlink>
        </w:p>
        <w:p w:rsidR="00B875DD" w:rsidRDefault="00A07A41">
          <w:pPr>
            <w:pStyle w:val="21"/>
            <w:tabs>
              <w:tab w:val="right" w:leader="dot" w:pos="9512"/>
            </w:tabs>
          </w:pPr>
          <w:hyperlink w:anchor="_Toc28341">
            <w:r w:rsidR="006C48F3">
              <w:t xml:space="preserve">3.5 </w:t>
            </w:r>
            <w:r w:rsidR="006C48F3">
              <w:rPr>
                <w:rFonts w:ascii="宋体" w:eastAsia="宋体" w:hAnsi="宋体" w:cs="宋体"/>
              </w:rPr>
              <w:t>信息管理</w:t>
            </w:r>
            <w:r w:rsidR="006C48F3">
              <w:tab/>
            </w:r>
            <w:r w:rsidR="006C48F3">
              <w:fldChar w:fldCharType="begin"/>
            </w:r>
            <w:r w:rsidR="006C48F3">
              <w:instrText>PAGEREF _Toc28341 \h</w:instrText>
            </w:r>
            <w:r w:rsidR="006C48F3">
              <w:fldChar w:fldCharType="separate"/>
            </w:r>
            <w:r w:rsidR="006C48F3">
              <w:t xml:space="preserve">20 </w:t>
            </w:r>
            <w:r w:rsidR="006C48F3">
              <w:fldChar w:fldCharType="end"/>
            </w:r>
          </w:hyperlink>
        </w:p>
        <w:p w:rsidR="00B875DD" w:rsidRDefault="00A07A41">
          <w:pPr>
            <w:pStyle w:val="11"/>
            <w:tabs>
              <w:tab w:val="right" w:leader="dot" w:pos="9512"/>
            </w:tabs>
          </w:pPr>
          <w:hyperlink w:anchor="_Toc28342">
            <w:r w:rsidR="006C48F3">
              <w:t xml:space="preserve">4 </w:t>
            </w:r>
            <w:r w:rsidR="006C48F3">
              <w:rPr>
                <w:rFonts w:ascii="宋体" w:eastAsia="宋体" w:hAnsi="宋体" w:cs="宋体"/>
              </w:rPr>
              <w:t>决策阶段</w:t>
            </w:r>
            <w:r w:rsidR="006C48F3">
              <w:tab/>
            </w:r>
            <w:r w:rsidR="006C48F3">
              <w:fldChar w:fldCharType="begin"/>
            </w:r>
            <w:r w:rsidR="006C48F3">
              <w:instrText>PAGEREF _Toc28342 \h</w:instrText>
            </w:r>
            <w:r w:rsidR="006C48F3">
              <w:fldChar w:fldCharType="separate"/>
            </w:r>
            <w:r w:rsidR="006C48F3">
              <w:t xml:space="preserve">21 </w:t>
            </w:r>
            <w:r w:rsidR="006C48F3">
              <w:fldChar w:fldCharType="end"/>
            </w:r>
          </w:hyperlink>
        </w:p>
        <w:p w:rsidR="00B875DD" w:rsidRDefault="00A07A41">
          <w:pPr>
            <w:pStyle w:val="21"/>
            <w:tabs>
              <w:tab w:val="right" w:leader="dot" w:pos="9512"/>
            </w:tabs>
          </w:pPr>
          <w:hyperlink w:anchor="_Toc28343">
            <w:r w:rsidR="006C48F3">
              <w:t xml:space="preserve">4.1 </w:t>
            </w:r>
            <w:r w:rsidR="006C48F3">
              <w:rPr>
                <w:rFonts w:ascii="宋体" w:eastAsia="宋体" w:hAnsi="宋体" w:cs="宋体"/>
              </w:rPr>
              <w:t>一般规定</w:t>
            </w:r>
            <w:r w:rsidR="006C48F3">
              <w:tab/>
            </w:r>
            <w:r w:rsidR="006C48F3">
              <w:fldChar w:fldCharType="begin"/>
            </w:r>
            <w:r w:rsidR="006C48F3">
              <w:instrText>PAGEREF _Toc28343 \h</w:instrText>
            </w:r>
            <w:r w:rsidR="006C48F3">
              <w:fldChar w:fldCharType="separate"/>
            </w:r>
            <w:r w:rsidR="006C48F3">
              <w:t xml:space="preserve">21 </w:t>
            </w:r>
            <w:r w:rsidR="006C48F3">
              <w:fldChar w:fldCharType="end"/>
            </w:r>
          </w:hyperlink>
        </w:p>
        <w:p w:rsidR="00B875DD" w:rsidRDefault="00A07A41">
          <w:pPr>
            <w:pStyle w:val="21"/>
            <w:tabs>
              <w:tab w:val="right" w:leader="dot" w:pos="9512"/>
            </w:tabs>
          </w:pPr>
          <w:hyperlink w:anchor="_Toc28344">
            <w:r w:rsidR="006C48F3">
              <w:t xml:space="preserve">4.2 </w:t>
            </w:r>
            <w:r w:rsidR="006C48F3">
              <w:rPr>
                <w:rFonts w:ascii="宋体" w:eastAsia="宋体" w:hAnsi="宋体" w:cs="宋体"/>
              </w:rPr>
              <w:t>投资估算编制</w:t>
            </w:r>
            <w:r w:rsidR="006C48F3">
              <w:tab/>
            </w:r>
            <w:r w:rsidR="006C48F3">
              <w:fldChar w:fldCharType="begin"/>
            </w:r>
            <w:r w:rsidR="006C48F3">
              <w:instrText>PAGEREF _Toc28344 \h</w:instrText>
            </w:r>
            <w:r w:rsidR="006C48F3">
              <w:fldChar w:fldCharType="separate"/>
            </w:r>
            <w:r w:rsidR="006C48F3">
              <w:t xml:space="preserve">22 </w:t>
            </w:r>
            <w:r w:rsidR="006C48F3">
              <w:fldChar w:fldCharType="end"/>
            </w:r>
          </w:hyperlink>
        </w:p>
        <w:p w:rsidR="00B875DD" w:rsidRDefault="00A07A41">
          <w:pPr>
            <w:pStyle w:val="21"/>
            <w:tabs>
              <w:tab w:val="right" w:leader="dot" w:pos="9512"/>
            </w:tabs>
          </w:pPr>
          <w:hyperlink w:anchor="_Toc28345">
            <w:r w:rsidR="006C48F3">
              <w:t xml:space="preserve">4.3 </w:t>
            </w:r>
            <w:r w:rsidR="006C48F3">
              <w:rPr>
                <w:rFonts w:ascii="宋体" w:eastAsia="宋体" w:hAnsi="宋体" w:cs="宋体"/>
              </w:rPr>
              <w:t>经济评价</w:t>
            </w:r>
            <w:r w:rsidR="006C48F3">
              <w:tab/>
            </w:r>
            <w:r w:rsidR="006C48F3">
              <w:fldChar w:fldCharType="begin"/>
            </w:r>
            <w:r w:rsidR="006C48F3">
              <w:instrText>PAGEREF _Toc28345 \h</w:instrText>
            </w:r>
            <w:r w:rsidR="006C48F3">
              <w:fldChar w:fldCharType="separate"/>
            </w:r>
            <w:r w:rsidR="006C48F3">
              <w:t xml:space="preserve">25 </w:t>
            </w:r>
            <w:r w:rsidR="006C48F3">
              <w:fldChar w:fldCharType="end"/>
            </w:r>
          </w:hyperlink>
        </w:p>
        <w:p w:rsidR="00B875DD" w:rsidRDefault="00A07A41">
          <w:pPr>
            <w:pStyle w:val="11"/>
            <w:tabs>
              <w:tab w:val="right" w:leader="dot" w:pos="9512"/>
            </w:tabs>
          </w:pPr>
          <w:hyperlink w:anchor="_Toc28346">
            <w:r w:rsidR="006C48F3">
              <w:t xml:space="preserve">5 </w:t>
            </w:r>
            <w:r w:rsidR="006C48F3">
              <w:rPr>
                <w:rFonts w:ascii="宋体" w:eastAsia="宋体" w:hAnsi="宋体" w:cs="宋体"/>
              </w:rPr>
              <w:t>设计阶段</w:t>
            </w:r>
            <w:r w:rsidR="006C48F3">
              <w:tab/>
            </w:r>
            <w:r w:rsidR="006C48F3">
              <w:fldChar w:fldCharType="begin"/>
            </w:r>
            <w:r w:rsidR="006C48F3">
              <w:instrText>PAGEREF _Toc28346 \h</w:instrText>
            </w:r>
            <w:r w:rsidR="006C48F3">
              <w:fldChar w:fldCharType="separate"/>
            </w:r>
            <w:r w:rsidR="006C48F3">
              <w:t xml:space="preserve">27 </w:t>
            </w:r>
            <w:r w:rsidR="006C48F3">
              <w:fldChar w:fldCharType="end"/>
            </w:r>
          </w:hyperlink>
        </w:p>
        <w:p w:rsidR="00B875DD" w:rsidRDefault="00A07A41">
          <w:pPr>
            <w:pStyle w:val="21"/>
            <w:tabs>
              <w:tab w:val="right" w:leader="dot" w:pos="9512"/>
            </w:tabs>
          </w:pPr>
          <w:hyperlink w:anchor="_Toc28347">
            <w:r w:rsidR="006C48F3">
              <w:t xml:space="preserve">5.1 </w:t>
            </w:r>
            <w:r w:rsidR="006C48F3">
              <w:rPr>
                <w:rFonts w:ascii="宋体" w:eastAsia="宋体" w:hAnsi="宋体" w:cs="宋体"/>
              </w:rPr>
              <w:t>一般规定</w:t>
            </w:r>
            <w:r w:rsidR="006C48F3">
              <w:tab/>
            </w:r>
            <w:r w:rsidR="006C48F3">
              <w:fldChar w:fldCharType="begin"/>
            </w:r>
            <w:r w:rsidR="006C48F3">
              <w:instrText>PAGEREF _Toc28347 \h</w:instrText>
            </w:r>
            <w:r w:rsidR="006C48F3">
              <w:fldChar w:fldCharType="separate"/>
            </w:r>
            <w:r w:rsidR="006C48F3">
              <w:t xml:space="preserve">27 </w:t>
            </w:r>
            <w:r w:rsidR="006C48F3">
              <w:fldChar w:fldCharType="end"/>
            </w:r>
          </w:hyperlink>
        </w:p>
        <w:p w:rsidR="00B875DD" w:rsidRDefault="00A07A41">
          <w:pPr>
            <w:pStyle w:val="21"/>
            <w:tabs>
              <w:tab w:val="right" w:leader="dot" w:pos="9512"/>
            </w:tabs>
          </w:pPr>
          <w:hyperlink w:anchor="_Toc28348">
            <w:r w:rsidR="006C48F3">
              <w:t xml:space="preserve">5.2 </w:t>
            </w:r>
            <w:r w:rsidR="006C48F3">
              <w:rPr>
                <w:rFonts w:ascii="宋体" w:eastAsia="宋体" w:hAnsi="宋体" w:cs="宋体"/>
              </w:rPr>
              <w:t>设计概算的编制</w:t>
            </w:r>
            <w:r w:rsidR="006C48F3">
              <w:tab/>
            </w:r>
            <w:r w:rsidR="006C48F3">
              <w:fldChar w:fldCharType="begin"/>
            </w:r>
            <w:r w:rsidR="006C48F3">
              <w:instrText>PAGEREF _Toc28348 \h</w:instrText>
            </w:r>
            <w:r w:rsidR="006C48F3">
              <w:fldChar w:fldCharType="separate"/>
            </w:r>
            <w:r w:rsidR="006C48F3">
              <w:t xml:space="preserve">28 </w:t>
            </w:r>
            <w:r w:rsidR="006C48F3">
              <w:fldChar w:fldCharType="end"/>
            </w:r>
          </w:hyperlink>
        </w:p>
        <w:p w:rsidR="00B875DD" w:rsidRDefault="00A07A41">
          <w:pPr>
            <w:pStyle w:val="21"/>
            <w:tabs>
              <w:tab w:val="right" w:leader="dot" w:pos="9512"/>
            </w:tabs>
          </w:pPr>
          <w:hyperlink w:anchor="_Toc28349">
            <w:r w:rsidR="006C48F3">
              <w:t xml:space="preserve">5.3 </w:t>
            </w:r>
            <w:r w:rsidR="006C48F3">
              <w:rPr>
                <w:rFonts w:ascii="宋体" w:eastAsia="宋体" w:hAnsi="宋体" w:cs="宋体"/>
              </w:rPr>
              <w:t>施工图总预算的编制</w:t>
            </w:r>
            <w:r w:rsidR="006C48F3">
              <w:tab/>
            </w:r>
            <w:r w:rsidR="006C48F3">
              <w:fldChar w:fldCharType="begin"/>
            </w:r>
            <w:r w:rsidR="006C48F3">
              <w:instrText>PAGEREF _Toc28349 \h</w:instrText>
            </w:r>
            <w:r w:rsidR="006C48F3">
              <w:fldChar w:fldCharType="separate"/>
            </w:r>
            <w:r w:rsidR="006C48F3">
              <w:t xml:space="preserve">31 </w:t>
            </w:r>
            <w:r w:rsidR="006C48F3">
              <w:fldChar w:fldCharType="end"/>
            </w:r>
          </w:hyperlink>
        </w:p>
        <w:p w:rsidR="00B875DD" w:rsidRDefault="00A07A41">
          <w:pPr>
            <w:pStyle w:val="11"/>
            <w:tabs>
              <w:tab w:val="right" w:leader="dot" w:pos="9512"/>
            </w:tabs>
          </w:pPr>
          <w:hyperlink w:anchor="_Toc28350">
            <w:r w:rsidR="006C48F3">
              <w:t xml:space="preserve">6 </w:t>
            </w:r>
            <w:r w:rsidR="006C48F3">
              <w:rPr>
                <w:rFonts w:ascii="宋体" w:eastAsia="宋体" w:hAnsi="宋体" w:cs="宋体"/>
              </w:rPr>
              <w:t>发承包阶段</w:t>
            </w:r>
            <w:r w:rsidR="006C48F3">
              <w:tab/>
            </w:r>
            <w:r w:rsidR="006C48F3">
              <w:fldChar w:fldCharType="begin"/>
            </w:r>
            <w:r w:rsidR="006C48F3">
              <w:instrText>PAGEREF _Toc28350 \h</w:instrText>
            </w:r>
            <w:r w:rsidR="006C48F3">
              <w:fldChar w:fldCharType="separate"/>
            </w:r>
            <w:r w:rsidR="006C48F3">
              <w:t xml:space="preserve">35 </w:t>
            </w:r>
            <w:r w:rsidR="006C48F3">
              <w:fldChar w:fldCharType="end"/>
            </w:r>
          </w:hyperlink>
        </w:p>
        <w:p w:rsidR="00B875DD" w:rsidRDefault="00A07A41">
          <w:pPr>
            <w:pStyle w:val="21"/>
            <w:tabs>
              <w:tab w:val="right" w:leader="dot" w:pos="9512"/>
            </w:tabs>
          </w:pPr>
          <w:hyperlink w:anchor="_Toc28351">
            <w:r w:rsidR="006C48F3">
              <w:t xml:space="preserve">6.1 </w:t>
            </w:r>
            <w:r w:rsidR="006C48F3">
              <w:rPr>
                <w:rFonts w:ascii="宋体" w:eastAsia="宋体" w:hAnsi="宋体" w:cs="宋体"/>
              </w:rPr>
              <w:t>一般规定</w:t>
            </w:r>
            <w:r w:rsidR="006C48F3">
              <w:tab/>
            </w:r>
            <w:r w:rsidR="006C48F3">
              <w:fldChar w:fldCharType="begin"/>
            </w:r>
            <w:r w:rsidR="006C48F3">
              <w:instrText>PAGEREF _Toc28351 \h</w:instrText>
            </w:r>
            <w:r w:rsidR="006C48F3">
              <w:fldChar w:fldCharType="separate"/>
            </w:r>
            <w:r w:rsidR="006C48F3">
              <w:t xml:space="preserve">35 </w:t>
            </w:r>
            <w:r w:rsidR="006C48F3">
              <w:fldChar w:fldCharType="end"/>
            </w:r>
          </w:hyperlink>
        </w:p>
        <w:p w:rsidR="00B875DD" w:rsidRDefault="00A07A41">
          <w:pPr>
            <w:pStyle w:val="21"/>
            <w:tabs>
              <w:tab w:val="right" w:leader="dot" w:pos="9512"/>
            </w:tabs>
          </w:pPr>
          <w:hyperlink w:anchor="_Toc28352">
            <w:r w:rsidR="006C48F3">
              <w:t xml:space="preserve">6.2 </w:t>
            </w:r>
            <w:r w:rsidR="006C48F3">
              <w:rPr>
                <w:rFonts w:ascii="宋体" w:eastAsia="宋体" w:hAnsi="宋体" w:cs="宋体"/>
              </w:rPr>
              <w:t>工程量清单、最高投标限价、投标报价编制与审核</w:t>
            </w:r>
            <w:r w:rsidR="006C48F3">
              <w:tab/>
            </w:r>
            <w:r w:rsidR="006C48F3">
              <w:fldChar w:fldCharType="begin"/>
            </w:r>
            <w:r w:rsidR="006C48F3">
              <w:instrText>PAGEREF _Toc28352 \h</w:instrText>
            </w:r>
            <w:r w:rsidR="006C48F3">
              <w:fldChar w:fldCharType="separate"/>
            </w:r>
            <w:r w:rsidR="006C48F3">
              <w:t xml:space="preserve">37 </w:t>
            </w:r>
            <w:r w:rsidR="006C48F3">
              <w:fldChar w:fldCharType="end"/>
            </w:r>
          </w:hyperlink>
        </w:p>
        <w:p w:rsidR="00B875DD" w:rsidRDefault="00A07A41">
          <w:pPr>
            <w:pStyle w:val="21"/>
            <w:tabs>
              <w:tab w:val="right" w:leader="dot" w:pos="9512"/>
            </w:tabs>
          </w:pPr>
          <w:hyperlink w:anchor="_Toc28353">
            <w:r w:rsidR="006C48F3">
              <w:t xml:space="preserve">6.3 </w:t>
            </w:r>
            <w:r w:rsidR="006C48F3">
              <w:rPr>
                <w:rFonts w:ascii="宋体" w:eastAsia="宋体" w:hAnsi="宋体" w:cs="宋体"/>
              </w:rPr>
              <w:t>清</w:t>
            </w:r>
            <w:r w:rsidR="006C48F3">
              <w:t xml:space="preserve">  </w:t>
            </w:r>
            <w:r w:rsidR="006C48F3">
              <w:rPr>
                <w:rFonts w:ascii="宋体" w:eastAsia="宋体" w:hAnsi="宋体" w:cs="宋体"/>
              </w:rPr>
              <w:t>标</w:t>
            </w:r>
            <w:r w:rsidR="006C48F3">
              <w:tab/>
            </w:r>
            <w:r w:rsidR="006C48F3">
              <w:fldChar w:fldCharType="begin"/>
            </w:r>
            <w:r w:rsidR="006C48F3">
              <w:instrText>PAGEREF _Toc28353 \h</w:instrText>
            </w:r>
            <w:r w:rsidR="006C48F3">
              <w:fldChar w:fldCharType="separate"/>
            </w:r>
            <w:r w:rsidR="006C48F3">
              <w:t xml:space="preserve">37 </w:t>
            </w:r>
            <w:r w:rsidR="006C48F3">
              <w:fldChar w:fldCharType="end"/>
            </w:r>
          </w:hyperlink>
        </w:p>
        <w:p w:rsidR="00B875DD" w:rsidRDefault="00A07A41">
          <w:pPr>
            <w:pStyle w:val="11"/>
            <w:tabs>
              <w:tab w:val="right" w:leader="dot" w:pos="9512"/>
            </w:tabs>
          </w:pPr>
          <w:hyperlink w:anchor="_Toc28354">
            <w:r w:rsidR="006C48F3">
              <w:t xml:space="preserve">7 </w:t>
            </w:r>
            <w:r w:rsidR="006C48F3">
              <w:rPr>
                <w:rFonts w:ascii="宋体" w:eastAsia="宋体" w:hAnsi="宋体" w:cs="宋体"/>
              </w:rPr>
              <w:t>实</w:t>
            </w:r>
            <w:r w:rsidR="006C48F3">
              <w:t xml:space="preserve"> </w:t>
            </w:r>
            <w:r w:rsidR="006C48F3">
              <w:rPr>
                <w:rFonts w:ascii="宋体" w:eastAsia="宋体" w:hAnsi="宋体" w:cs="宋体"/>
              </w:rPr>
              <w:t>施</w:t>
            </w:r>
            <w:r w:rsidR="006C48F3">
              <w:t xml:space="preserve"> </w:t>
            </w:r>
            <w:r w:rsidR="006C48F3">
              <w:rPr>
                <w:rFonts w:ascii="宋体" w:eastAsia="宋体" w:hAnsi="宋体" w:cs="宋体"/>
              </w:rPr>
              <w:t>阶</w:t>
            </w:r>
            <w:r w:rsidR="006C48F3">
              <w:t xml:space="preserve"> </w:t>
            </w:r>
            <w:r w:rsidR="006C48F3">
              <w:rPr>
                <w:rFonts w:ascii="宋体" w:eastAsia="宋体" w:hAnsi="宋体" w:cs="宋体"/>
              </w:rPr>
              <w:t>段</w:t>
            </w:r>
            <w:r w:rsidR="006C48F3">
              <w:tab/>
            </w:r>
            <w:r w:rsidR="006C48F3">
              <w:fldChar w:fldCharType="begin"/>
            </w:r>
            <w:r w:rsidR="006C48F3">
              <w:instrText>PAGEREF _Toc28354 \h</w:instrText>
            </w:r>
            <w:r w:rsidR="006C48F3">
              <w:fldChar w:fldCharType="separate"/>
            </w:r>
            <w:r w:rsidR="006C48F3">
              <w:t xml:space="preserve">38 </w:t>
            </w:r>
            <w:r w:rsidR="006C48F3">
              <w:fldChar w:fldCharType="end"/>
            </w:r>
          </w:hyperlink>
        </w:p>
        <w:p w:rsidR="00B875DD" w:rsidRDefault="00A07A41">
          <w:pPr>
            <w:pStyle w:val="21"/>
            <w:tabs>
              <w:tab w:val="right" w:leader="dot" w:pos="9512"/>
            </w:tabs>
          </w:pPr>
          <w:hyperlink w:anchor="_Toc28355">
            <w:r w:rsidR="006C48F3">
              <w:t xml:space="preserve">7.1 </w:t>
            </w:r>
            <w:r w:rsidR="006C48F3">
              <w:rPr>
                <w:rFonts w:ascii="宋体" w:eastAsia="宋体" w:hAnsi="宋体" w:cs="宋体"/>
              </w:rPr>
              <w:t>一般规定</w:t>
            </w:r>
            <w:r w:rsidR="006C48F3">
              <w:tab/>
            </w:r>
            <w:r w:rsidR="006C48F3">
              <w:fldChar w:fldCharType="begin"/>
            </w:r>
            <w:r w:rsidR="006C48F3">
              <w:instrText>PAGEREF _Toc28355 \h</w:instrText>
            </w:r>
            <w:r w:rsidR="006C48F3">
              <w:fldChar w:fldCharType="separate"/>
            </w:r>
            <w:r w:rsidR="006C48F3">
              <w:t xml:space="preserve">38 </w:t>
            </w:r>
            <w:r w:rsidR="006C48F3">
              <w:fldChar w:fldCharType="end"/>
            </w:r>
          </w:hyperlink>
        </w:p>
        <w:p w:rsidR="00B875DD" w:rsidRDefault="00A07A41">
          <w:pPr>
            <w:pStyle w:val="21"/>
            <w:tabs>
              <w:tab w:val="right" w:leader="dot" w:pos="9512"/>
            </w:tabs>
          </w:pPr>
          <w:hyperlink w:anchor="_Toc28356">
            <w:r w:rsidR="006C48F3">
              <w:t xml:space="preserve">7.2 </w:t>
            </w:r>
            <w:r w:rsidR="006C48F3">
              <w:rPr>
                <w:rFonts w:ascii="宋体" w:eastAsia="宋体" w:hAnsi="宋体" w:cs="宋体"/>
              </w:rPr>
              <w:t>编制项目工程资金使用计划</w:t>
            </w:r>
            <w:r w:rsidR="006C48F3">
              <w:tab/>
            </w:r>
            <w:r w:rsidR="006C48F3">
              <w:fldChar w:fldCharType="begin"/>
            </w:r>
            <w:r w:rsidR="006C48F3">
              <w:instrText>PAGEREF _Toc28356 \h</w:instrText>
            </w:r>
            <w:r w:rsidR="006C48F3">
              <w:fldChar w:fldCharType="separate"/>
            </w:r>
            <w:r w:rsidR="006C48F3">
              <w:t xml:space="preserve">40 </w:t>
            </w:r>
            <w:r w:rsidR="006C48F3">
              <w:fldChar w:fldCharType="end"/>
            </w:r>
          </w:hyperlink>
        </w:p>
        <w:p w:rsidR="00B875DD" w:rsidRDefault="00A07A41">
          <w:pPr>
            <w:pStyle w:val="21"/>
            <w:tabs>
              <w:tab w:val="right" w:leader="dot" w:pos="9512"/>
            </w:tabs>
          </w:pPr>
          <w:hyperlink w:anchor="_Toc28357">
            <w:r w:rsidR="006C48F3">
              <w:t xml:space="preserve">7.3 </w:t>
            </w:r>
            <w:r w:rsidR="006C48F3">
              <w:rPr>
                <w:rFonts w:ascii="宋体" w:eastAsia="宋体" w:hAnsi="宋体" w:cs="宋体"/>
              </w:rPr>
              <w:t>工程计量与合同价款审核</w:t>
            </w:r>
            <w:r w:rsidR="006C48F3">
              <w:tab/>
            </w:r>
            <w:r w:rsidR="006C48F3">
              <w:fldChar w:fldCharType="begin"/>
            </w:r>
            <w:r w:rsidR="006C48F3">
              <w:instrText>PAGEREF _Toc28357 \h</w:instrText>
            </w:r>
            <w:r w:rsidR="006C48F3">
              <w:fldChar w:fldCharType="separate"/>
            </w:r>
            <w:r w:rsidR="006C48F3">
              <w:t xml:space="preserve">40 </w:t>
            </w:r>
            <w:r w:rsidR="006C48F3">
              <w:fldChar w:fldCharType="end"/>
            </w:r>
          </w:hyperlink>
        </w:p>
        <w:p w:rsidR="00B875DD" w:rsidRDefault="00A07A41">
          <w:pPr>
            <w:pStyle w:val="21"/>
            <w:tabs>
              <w:tab w:val="right" w:leader="dot" w:pos="9512"/>
            </w:tabs>
          </w:pPr>
          <w:hyperlink w:anchor="_Toc28358">
            <w:r w:rsidR="006C48F3">
              <w:t xml:space="preserve">7.4 </w:t>
            </w:r>
            <w:r w:rsidR="006C48F3">
              <w:rPr>
                <w:rFonts w:ascii="宋体" w:eastAsia="宋体" w:hAnsi="宋体" w:cs="宋体"/>
              </w:rPr>
              <w:t>询价与核价</w:t>
            </w:r>
            <w:r w:rsidR="006C48F3">
              <w:tab/>
            </w:r>
            <w:r w:rsidR="006C48F3">
              <w:fldChar w:fldCharType="begin"/>
            </w:r>
            <w:r w:rsidR="006C48F3">
              <w:instrText>PAGEREF _Toc28358 \h</w:instrText>
            </w:r>
            <w:r w:rsidR="006C48F3">
              <w:fldChar w:fldCharType="separate"/>
            </w:r>
            <w:r w:rsidR="006C48F3">
              <w:t xml:space="preserve">41 </w:t>
            </w:r>
            <w:r w:rsidR="006C48F3">
              <w:fldChar w:fldCharType="end"/>
            </w:r>
          </w:hyperlink>
        </w:p>
        <w:p w:rsidR="00B875DD" w:rsidRDefault="00A07A41">
          <w:pPr>
            <w:pStyle w:val="21"/>
            <w:tabs>
              <w:tab w:val="right" w:leader="dot" w:pos="9512"/>
            </w:tabs>
          </w:pPr>
          <w:hyperlink w:anchor="_Toc28359">
            <w:r w:rsidR="006C48F3">
              <w:t xml:space="preserve">7.5 </w:t>
            </w:r>
            <w:r w:rsidR="006C48F3">
              <w:rPr>
                <w:rFonts w:ascii="宋体" w:eastAsia="宋体" w:hAnsi="宋体" w:cs="宋体"/>
              </w:rPr>
              <w:t>工程变更、工程索赔和工程签证审核</w:t>
            </w:r>
            <w:r w:rsidR="006C48F3">
              <w:tab/>
            </w:r>
            <w:r w:rsidR="006C48F3">
              <w:fldChar w:fldCharType="begin"/>
            </w:r>
            <w:r w:rsidR="006C48F3">
              <w:instrText>PAGEREF _Toc28359 \h</w:instrText>
            </w:r>
            <w:r w:rsidR="006C48F3">
              <w:fldChar w:fldCharType="separate"/>
            </w:r>
            <w:r w:rsidR="006C48F3">
              <w:t xml:space="preserve">43 </w:t>
            </w:r>
            <w:r w:rsidR="006C48F3">
              <w:fldChar w:fldCharType="end"/>
            </w:r>
          </w:hyperlink>
        </w:p>
        <w:p w:rsidR="00B875DD" w:rsidRDefault="00A07A41">
          <w:pPr>
            <w:pStyle w:val="21"/>
            <w:tabs>
              <w:tab w:val="right" w:leader="dot" w:pos="9512"/>
            </w:tabs>
          </w:pPr>
          <w:hyperlink w:anchor="_Toc28360">
            <w:r w:rsidR="006C48F3">
              <w:t xml:space="preserve">7.6 </w:t>
            </w:r>
            <w:r w:rsidR="006C48F3">
              <w:rPr>
                <w:rFonts w:ascii="宋体" w:eastAsia="宋体" w:hAnsi="宋体" w:cs="宋体"/>
              </w:rPr>
              <w:t>工程造价动态管理</w:t>
            </w:r>
            <w:r w:rsidR="006C48F3">
              <w:tab/>
            </w:r>
            <w:r w:rsidR="006C48F3">
              <w:fldChar w:fldCharType="begin"/>
            </w:r>
            <w:r w:rsidR="006C48F3">
              <w:instrText>PAGEREF _Toc28360 \h</w:instrText>
            </w:r>
            <w:r w:rsidR="006C48F3">
              <w:fldChar w:fldCharType="separate"/>
            </w:r>
            <w:r w:rsidR="006C48F3">
              <w:t xml:space="preserve">45 </w:t>
            </w:r>
            <w:r w:rsidR="006C48F3">
              <w:fldChar w:fldCharType="end"/>
            </w:r>
          </w:hyperlink>
        </w:p>
        <w:p w:rsidR="00B875DD" w:rsidRDefault="00A07A41">
          <w:pPr>
            <w:pStyle w:val="11"/>
            <w:tabs>
              <w:tab w:val="right" w:leader="dot" w:pos="9512"/>
            </w:tabs>
          </w:pPr>
          <w:hyperlink w:anchor="_Toc28361">
            <w:r w:rsidR="006C48F3">
              <w:t xml:space="preserve">8 </w:t>
            </w:r>
            <w:r w:rsidR="006C48F3">
              <w:rPr>
                <w:rFonts w:ascii="宋体" w:eastAsia="宋体" w:hAnsi="宋体" w:cs="宋体"/>
              </w:rPr>
              <w:t>竣工阶段</w:t>
            </w:r>
            <w:r w:rsidR="006C48F3">
              <w:tab/>
            </w:r>
            <w:r w:rsidR="006C48F3">
              <w:fldChar w:fldCharType="begin"/>
            </w:r>
            <w:r w:rsidR="006C48F3">
              <w:instrText>PAGEREF _Toc28361 \h</w:instrText>
            </w:r>
            <w:r w:rsidR="006C48F3">
              <w:fldChar w:fldCharType="separate"/>
            </w:r>
            <w:r w:rsidR="006C48F3">
              <w:t xml:space="preserve">47 </w:t>
            </w:r>
            <w:r w:rsidR="006C48F3">
              <w:fldChar w:fldCharType="end"/>
            </w:r>
          </w:hyperlink>
        </w:p>
        <w:p w:rsidR="00B875DD" w:rsidRDefault="00A07A41">
          <w:pPr>
            <w:pStyle w:val="21"/>
            <w:tabs>
              <w:tab w:val="right" w:leader="dot" w:pos="9512"/>
            </w:tabs>
          </w:pPr>
          <w:hyperlink w:anchor="_Toc28362">
            <w:r w:rsidR="006C48F3">
              <w:t xml:space="preserve">8.1 </w:t>
            </w:r>
            <w:r w:rsidR="006C48F3">
              <w:rPr>
                <w:rFonts w:ascii="宋体" w:eastAsia="宋体" w:hAnsi="宋体" w:cs="宋体"/>
              </w:rPr>
              <w:t>一般规定</w:t>
            </w:r>
            <w:r w:rsidR="006C48F3">
              <w:tab/>
            </w:r>
            <w:r w:rsidR="006C48F3">
              <w:fldChar w:fldCharType="begin"/>
            </w:r>
            <w:r w:rsidR="006C48F3">
              <w:instrText>PAGEREF _Toc28362 \h</w:instrText>
            </w:r>
            <w:r w:rsidR="006C48F3">
              <w:fldChar w:fldCharType="separate"/>
            </w:r>
            <w:r w:rsidR="006C48F3">
              <w:t xml:space="preserve">47 </w:t>
            </w:r>
            <w:r w:rsidR="006C48F3">
              <w:fldChar w:fldCharType="end"/>
            </w:r>
          </w:hyperlink>
        </w:p>
        <w:p w:rsidR="00B875DD" w:rsidRDefault="00A07A41">
          <w:pPr>
            <w:pStyle w:val="21"/>
            <w:tabs>
              <w:tab w:val="right" w:leader="dot" w:pos="9512"/>
            </w:tabs>
          </w:pPr>
          <w:hyperlink w:anchor="_Toc28363">
            <w:r w:rsidR="006C48F3">
              <w:t xml:space="preserve">8.2 </w:t>
            </w:r>
            <w:r w:rsidR="006C48F3">
              <w:rPr>
                <w:rFonts w:ascii="宋体" w:eastAsia="宋体" w:hAnsi="宋体" w:cs="宋体"/>
              </w:rPr>
              <w:t>竣工结算编制</w:t>
            </w:r>
            <w:r w:rsidR="006C48F3">
              <w:tab/>
            </w:r>
            <w:r w:rsidR="006C48F3">
              <w:fldChar w:fldCharType="begin"/>
            </w:r>
            <w:r w:rsidR="006C48F3">
              <w:instrText>PAGEREF _Toc28363 \h</w:instrText>
            </w:r>
            <w:r w:rsidR="006C48F3">
              <w:fldChar w:fldCharType="separate"/>
            </w:r>
            <w:r w:rsidR="006C48F3">
              <w:t xml:space="preserve">47 </w:t>
            </w:r>
            <w:r w:rsidR="006C48F3">
              <w:fldChar w:fldCharType="end"/>
            </w:r>
          </w:hyperlink>
        </w:p>
        <w:p w:rsidR="00B875DD" w:rsidRDefault="00A07A41">
          <w:pPr>
            <w:pStyle w:val="21"/>
            <w:tabs>
              <w:tab w:val="right" w:leader="dot" w:pos="9512"/>
            </w:tabs>
          </w:pPr>
          <w:hyperlink w:anchor="_Toc28364">
            <w:r w:rsidR="006C48F3">
              <w:t xml:space="preserve">8.3 </w:t>
            </w:r>
            <w:r w:rsidR="006C48F3">
              <w:rPr>
                <w:rFonts w:ascii="宋体" w:eastAsia="宋体" w:hAnsi="宋体" w:cs="宋体"/>
              </w:rPr>
              <w:t>竣工结算审核</w:t>
            </w:r>
            <w:r w:rsidR="006C48F3">
              <w:tab/>
            </w:r>
            <w:r w:rsidR="006C48F3">
              <w:fldChar w:fldCharType="begin"/>
            </w:r>
            <w:r w:rsidR="006C48F3">
              <w:instrText>PAGEREF _Toc28364 \h</w:instrText>
            </w:r>
            <w:r w:rsidR="006C48F3">
              <w:fldChar w:fldCharType="separate"/>
            </w:r>
            <w:r w:rsidR="006C48F3">
              <w:t xml:space="preserve">49 </w:t>
            </w:r>
            <w:r w:rsidR="006C48F3">
              <w:fldChar w:fldCharType="end"/>
            </w:r>
          </w:hyperlink>
        </w:p>
        <w:p w:rsidR="00B875DD" w:rsidRDefault="00A07A41">
          <w:pPr>
            <w:pStyle w:val="21"/>
            <w:tabs>
              <w:tab w:val="right" w:leader="dot" w:pos="9512"/>
            </w:tabs>
          </w:pPr>
          <w:hyperlink w:anchor="_Toc28365">
            <w:r w:rsidR="006C48F3">
              <w:t xml:space="preserve">8.4 </w:t>
            </w:r>
            <w:r w:rsidR="006C48F3">
              <w:rPr>
                <w:rFonts w:ascii="宋体" w:eastAsia="宋体" w:hAnsi="宋体" w:cs="宋体"/>
              </w:rPr>
              <w:t>竣工决算编制</w:t>
            </w:r>
            <w:r w:rsidR="006C48F3">
              <w:tab/>
            </w:r>
            <w:r w:rsidR="006C48F3">
              <w:fldChar w:fldCharType="begin"/>
            </w:r>
            <w:r w:rsidR="006C48F3">
              <w:instrText>PAGEREF _Toc28365 \h</w:instrText>
            </w:r>
            <w:r w:rsidR="006C48F3">
              <w:fldChar w:fldCharType="separate"/>
            </w:r>
            <w:r w:rsidR="006C48F3">
              <w:t xml:space="preserve">51 </w:t>
            </w:r>
            <w:r w:rsidR="006C48F3">
              <w:fldChar w:fldCharType="end"/>
            </w:r>
          </w:hyperlink>
        </w:p>
        <w:p w:rsidR="00B875DD" w:rsidRDefault="00A07A41">
          <w:pPr>
            <w:pStyle w:val="11"/>
            <w:tabs>
              <w:tab w:val="right" w:leader="dot" w:pos="9512"/>
            </w:tabs>
          </w:pPr>
          <w:hyperlink w:anchor="_Toc28366">
            <w:r w:rsidR="006C48F3">
              <w:t xml:space="preserve">9  </w:t>
            </w:r>
            <w:r w:rsidR="006C48F3">
              <w:rPr>
                <w:rFonts w:ascii="宋体" w:eastAsia="宋体" w:hAnsi="宋体" w:cs="宋体"/>
              </w:rPr>
              <w:t>造价鉴定</w:t>
            </w:r>
            <w:r w:rsidR="006C48F3">
              <w:tab/>
            </w:r>
            <w:r w:rsidR="006C48F3">
              <w:fldChar w:fldCharType="begin"/>
            </w:r>
            <w:r w:rsidR="006C48F3">
              <w:instrText>PAGEREF _Toc28366 \h</w:instrText>
            </w:r>
            <w:r w:rsidR="006C48F3">
              <w:fldChar w:fldCharType="separate"/>
            </w:r>
            <w:r w:rsidR="006C48F3">
              <w:t xml:space="preserve">53 </w:t>
            </w:r>
            <w:r w:rsidR="006C48F3">
              <w:fldChar w:fldCharType="end"/>
            </w:r>
          </w:hyperlink>
        </w:p>
        <w:p w:rsidR="00B875DD" w:rsidRDefault="00A07A41">
          <w:pPr>
            <w:pStyle w:val="21"/>
            <w:tabs>
              <w:tab w:val="right" w:leader="dot" w:pos="9512"/>
            </w:tabs>
          </w:pPr>
          <w:hyperlink w:anchor="_Toc28367">
            <w:r w:rsidR="006C48F3">
              <w:t xml:space="preserve">9.1 </w:t>
            </w:r>
            <w:r w:rsidR="006C48F3">
              <w:rPr>
                <w:rFonts w:ascii="宋体" w:eastAsia="宋体" w:hAnsi="宋体" w:cs="宋体"/>
              </w:rPr>
              <w:t>一般规定</w:t>
            </w:r>
            <w:r w:rsidR="006C48F3">
              <w:tab/>
            </w:r>
            <w:r w:rsidR="006C48F3">
              <w:fldChar w:fldCharType="begin"/>
            </w:r>
            <w:r w:rsidR="006C48F3">
              <w:instrText>PAGEREF _Toc28367 \h</w:instrText>
            </w:r>
            <w:r w:rsidR="006C48F3">
              <w:fldChar w:fldCharType="separate"/>
            </w:r>
            <w:r w:rsidR="006C48F3">
              <w:t xml:space="preserve">53 </w:t>
            </w:r>
            <w:r w:rsidR="006C48F3">
              <w:fldChar w:fldCharType="end"/>
            </w:r>
          </w:hyperlink>
        </w:p>
        <w:p w:rsidR="00B875DD" w:rsidRDefault="00A07A41">
          <w:pPr>
            <w:pStyle w:val="21"/>
            <w:tabs>
              <w:tab w:val="right" w:leader="dot" w:pos="9512"/>
            </w:tabs>
          </w:pPr>
          <w:hyperlink w:anchor="_Toc28368">
            <w:r w:rsidR="006C48F3">
              <w:t xml:space="preserve">9.2 </w:t>
            </w:r>
            <w:r w:rsidR="006C48F3">
              <w:rPr>
                <w:rFonts w:ascii="宋体" w:eastAsia="宋体" w:hAnsi="宋体" w:cs="宋体"/>
              </w:rPr>
              <w:t>准备工作</w:t>
            </w:r>
            <w:r w:rsidR="006C48F3">
              <w:tab/>
            </w:r>
            <w:r w:rsidR="006C48F3">
              <w:fldChar w:fldCharType="begin"/>
            </w:r>
            <w:r w:rsidR="006C48F3">
              <w:instrText>PAGEREF _Toc28368 \h</w:instrText>
            </w:r>
            <w:r w:rsidR="006C48F3">
              <w:fldChar w:fldCharType="separate"/>
            </w:r>
            <w:r w:rsidR="006C48F3">
              <w:t xml:space="preserve">54 </w:t>
            </w:r>
            <w:r w:rsidR="006C48F3">
              <w:fldChar w:fldCharType="end"/>
            </w:r>
          </w:hyperlink>
        </w:p>
        <w:p w:rsidR="00B875DD" w:rsidRDefault="00A07A41">
          <w:pPr>
            <w:pStyle w:val="21"/>
            <w:tabs>
              <w:tab w:val="right" w:leader="dot" w:pos="9512"/>
            </w:tabs>
          </w:pPr>
          <w:hyperlink w:anchor="_Toc28369">
            <w:r w:rsidR="006C48F3">
              <w:t xml:space="preserve">9.3 </w:t>
            </w:r>
            <w:r w:rsidR="006C48F3">
              <w:rPr>
                <w:rFonts w:ascii="宋体" w:eastAsia="宋体" w:hAnsi="宋体" w:cs="宋体"/>
              </w:rPr>
              <w:t>鉴定工作</w:t>
            </w:r>
            <w:r w:rsidR="006C48F3">
              <w:tab/>
            </w:r>
            <w:r w:rsidR="006C48F3">
              <w:fldChar w:fldCharType="begin"/>
            </w:r>
            <w:r w:rsidR="006C48F3">
              <w:instrText>PAGEREF _Toc28369 \h</w:instrText>
            </w:r>
            <w:r w:rsidR="006C48F3">
              <w:fldChar w:fldCharType="separate"/>
            </w:r>
            <w:r w:rsidR="006C48F3">
              <w:t xml:space="preserve">55 </w:t>
            </w:r>
            <w:r w:rsidR="006C48F3">
              <w:fldChar w:fldCharType="end"/>
            </w:r>
          </w:hyperlink>
        </w:p>
        <w:p w:rsidR="00B875DD" w:rsidRDefault="00A07A41">
          <w:pPr>
            <w:pStyle w:val="21"/>
            <w:tabs>
              <w:tab w:val="right" w:leader="dot" w:pos="9512"/>
            </w:tabs>
          </w:pPr>
          <w:hyperlink w:anchor="_Toc28370">
            <w:r w:rsidR="006C48F3">
              <w:t xml:space="preserve">9.4 </w:t>
            </w:r>
            <w:r w:rsidR="006C48F3">
              <w:rPr>
                <w:rFonts w:ascii="宋体" w:eastAsia="宋体" w:hAnsi="宋体" w:cs="宋体"/>
              </w:rPr>
              <w:t>成果文件</w:t>
            </w:r>
            <w:r w:rsidR="006C48F3">
              <w:tab/>
            </w:r>
            <w:r w:rsidR="006C48F3">
              <w:fldChar w:fldCharType="begin"/>
            </w:r>
            <w:r w:rsidR="006C48F3">
              <w:instrText>PAGEREF _Toc28370 \h</w:instrText>
            </w:r>
            <w:r w:rsidR="006C48F3">
              <w:fldChar w:fldCharType="separate"/>
            </w:r>
            <w:r w:rsidR="006C48F3">
              <w:t xml:space="preserve">57 </w:t>
            </w:r>
            <w:r w:rsidR="006C48F3">
              <w:fldChar w:fldCharType="end"/>
            </w:r>
          </w:hyperlink>
        </w:p>
        <w:p w:rsidR="00B875DD" w:rsidRDefault="006C48F3">
          <w:r>
            <w:fldChar w:fldCharType="end"/>
          </w:r>
        </w:p>
      </w:sdtContent>
    </w:sdt>
    <w:p w:rsidR="00B875DD" w:rsidRDefault="006C48F3">
      <w:pPr>
        <w:spacing w:after="0" w:line="259" w:lineRule="auto"/>
        <w:ind w:left="0" w:right="0" w:firstLine="0"/>
      </w:pPr>
      <w:r>
        <w:rPr>
          <w:rFonts w:ascii="Times New Roman" w:eastAsia="Times New Roman" w:hAnsi="Times New Roman" w:cs="Times New Roman"/>
          <w:sz w:val="21"/>
        </w:rPr>
        <w:t xml:space="preserve"> </w:t>
      </w:r>
    </w:p>
    <w:p w:rsidR="00B875DD" w:rsidRDefault="00B875DD">
      <w:pPr>
        <w:sectPr w:rsidR="00B875DD">
          <w:headerReference w:type="even" r:id="rId9"/>
          <w:headerReference w:type="default" r:id="rId10"/>
          <w:footerReference w:type="even" r:id="rId11"/>
          <w:footerReference w:type="default" r:id="rId12"/>
          <w:headerReference w:type="first" r:id="rId13"/>
          <w:footerReference w:type="first" r:id="rId14"/>
          <w:pgSz w:w="11906" w:h="16838"/>
          <w:pgMar w:top="1908" w:right="772" w:bottom="981" w:left="1622" w:header="852" w:footer="720" w:gutter="0"/>
          <w:cols w:space="720"/>
        </w:sectPr>
      </w:pPr>
    </w:p>
    <w:p w:rsidR="00B875DD" w:rsidRDefault="006C48F3">
      <w:pPr>
        <w:pStyle w:val="1"/>
        <w:spacing w:after="380"/>
        <w:ind w:left="442" w:hanging="442"/>
      </w:pPr>
      <w:bookmarkStart w:id="0" w:name="_Toc28334"/>
      <w:r>
        <w:lastRenderedPageBreak/>
        <w:t>总</w:t>
      </w:r>
      <w:r>
        <w:rPr>
          <w:rFonts w:ascii="Times New Roman" w:eastAsia="Times New Roman" w:hAnsi="Times New Roman" w:cs="Times New Roman"/>
          <w:b/>
        </w:rPr>
        <w:t xml:space="preserve">    </w:t>
      </w:r>
      <w:r>
        <w:t>则</w:t>
      </w:r>
      <w:r>
        <w:rPr>
          <w:rFonts w:ascii="Times New Roman" w:eastAsia="Times New Roman" w:hAnsi="Times New Roman" w:cs="Times New Roman"/>
          <w:b/>
        </w:rPr>
        <w:t xml:space="preserve"> </w:t>
      </w:r>
      <w:bookmarkEnd w:id="0"/>
    </w:p>
    <w:p w:rsidR="00B875DD" w:rsidRDefault="006C48F3">
      <w:pPr>
        <w:spacing w:after="34"/>
        <w:ind w:left="6" w:right="0"/>
      </w:pPr>
      <w:r>
        <w:t xml:space="preserve">1.0.1 为规范工程造价咨询业务活动，提高建设项目工程造价咨询成果文件的质量，制定本标准。 </w:t>
      </w:r>
      <w:r>
        <w:tab/>
      </w:r>
    </w:p>
    <w:p w:rsidR="00B875DD" w:rsidRDefault="006C48F3">
      <w:pPr>
        <w:spacing w:after="222"/>
        <w:ind w:left="6" w:right="926"/>
      </w:pPr>
      <w:r>
        <w:t xml:space="preserve">1.0.2 本规范适用于建设工程造价咨询及其成果文件的管理。 </w:t>
      </w:r>
    </w:p>
    <w:p w:rsidR="00B875DD" w:rsidRDefault="006C48F3">
      <w:pPr>
        <w:spacing w:after="222"/>
        <w:ind w:left="6" w:right="0"/>
      </w:pPr>
      <w:r>
        <w:t xml:space="preserve">1.0.3 工程造价咨询应坚持合法、独立、客观、公正和诚实信用的原则。 </w:t>
      </w:r>
    </w:p>
    <w:p w:rsidR="00B875DD" w:rsidRDefault="006C48F3">
      <w:pPr>
        <w:spacing w:line="410" w:lineRule="auto"/>
        <w:ind w:left="6" w:right="0"/>
      </w:pPr>
      <w:r>
        <w:t xml:space="preserve">1.0.4 工程造价咨询应签订书面的建设工程造价咨询合同，合同文本应选择国家现行的《建设工程造价咨询合同（示范文本）》。合同中应明确工程造价咨询服务的内容、范围、双方的义务、权利、责任、服务周期、服务酬金、支付方式及成果文件表现形式等要求。 </w:t>
      </w:r>
    </w:p>
    <w:p w:rsidR="00B875DD" w:rsidRDefault="006C48F3">
      <w:pPr>
        <w:spacing w:line="419" w:lineRule="auto"/>
        <w:ind w:left="6" w:right="0"/>
      </w:pPr>
      <w:r>
        <w:t xml:space="preserve">1.0.5 工程造价咨询企业应按委托咨询合同要求出具成果文件，并应在成果文件或需其确认的相关文件上签章，承担合同主体责任。造价工程师和造价员应在各自完成的成果文件上签章，承担相应责任。 </w:t>
      </w:r>
    </w:p>
    <w:p w:rsidR="00B875DD" w:rsidRDefault="006C48F3">
      <w:pPr>
        <w:spacing w:line="410" w:lineRule="auto"/>
        <w:ind w:left="6" w:right="0"/>
      </w:pPr>
      <w:r>
        <w:t xml:space="preserve">1.0.6 工程造价咨询企业以及承担工程造价咨询业务的工程造价专业人员，不得同时接受利益或利害双方或多方委托，进行同一项目、同一阶段中的工程造价咨询业务。 </w:t>
      </w:r>
    </w:p>
    <w:p w:rsidR="00B875DD" w:rsidRDefault="006C48F3">
      <w:pPr>
        <w:spacing w:line="410" w:lineRule="auto"/>
        <w:ind w:left="6" w:right="0"/>
      </w:pPr>
      <w:r>
        <w:t xml:space="preserve">1.0.7 工程造价咨询活动及其成果文件的管理除应符合本规范外，尚应符合国家现行有关标准的规定。 </w:t>
      </w:r>
    </w:p>
    <w:p w:rsidR="001A0A8C" w:rsidRDefault="001A0A8C">
      <w:pPr>
        <w:spacing w:line="410" w:lineRule="auto"/>
        <w:ind w:left="6" w:right="0"/>
      </w:pPr>
    </w:p>
    <w:p w:rsidR="001A0A8C" w:rsidRDefault="001A0A8C">
      <w:pPr>
        <w:spacing w:line="410" w:lineRule="auto"/>
        <w:ind w:left="6" w:right="0"/>
      </w:pPr>
    </w:p>
    <w:p w:rsidR="001A0A8C" w:rsidRDefault="001A0A8C">
      <w:pPr>
        <w:spacing w:line="410" w:lineRule="auto"/>
        <w:ind w:left="6" w:right="0"/>
      </w:pPr>
    </w:p>
    <w:p w:rsidR="00B875DD" w:rsidRDefault="006C48F3">
      <w:pPr>
        <w:pStyle w:val="1"/>
        <w:ind w:left="442" w:hanging="442"/>
      </w:pPr>
      <w:bookmarkStart w:id="1" w:name="_Toc28335"/>
      <w:r>
        <w:lastRenderedPageBreak/>
        <w:t>术</w:t>
      </w:r>
      <w:r>
        <w:rPr>
          <w:rFonts w:ascii="Times New Roman" w:eastAsia="Times New Roman" w:hAnsi="Times New Roman" w:cs="Times New Roman"/>
          <w:b/>
        </w:rPr>
        <w:t xml:space="preserve">    </w:t>
      </w:r>
      <w:r>
        <w:t>语</w:t>
      </w:r>
      <w:r>
        <w:rPr>
          <w:rFonts w:ascii="Times New Roman" w:eastAsia="Times New Roman" w:hAnsi="Times New Roman" w:cs="Times New Roman"/>
          <w:b/>
        </w:rPr>
        <w:t xml:space="preserve"> </w:t>
      </w:r>
      <w:bookmarkEnd w:id="1"/>
    </w:p>
    <w:p w:rsidR="00B875DD" w:rsidRDefault="006C48F3">
      <w:pPr>
        <w:spacing w:after="280" w:line="259" w:lineRule="auto"/>
        <w:ind w:left="8" w:right="0" w:hanging="10"/>
      </w:pPr>
      <w:r>
        <w:t xml:space="preserve">2.0.1 </w:t>
      </w:r>
      <w:r>
        <w:rPr>
          <w:rFonts w:ascii="Arial" w:eastAsia="Arial" w:hAnsi="Arial" w:cs="Arial"/>
        </w:rPr>
        <w:t xml:space="preserve"> </w:t>
      </w:r>
      <w:r>
        <w:t xml:space="preserve">工程造价咨询 construction cost consultation </w:t>
      </w:r>
    </w:p>
    <w:p w:rsidR="00B875DD" w:rsidRDefault="006C48F3">
      <w:pPr>
        <w:spacing w:after="50" w:line="410" w:lineRule="auto"/>
        <w:ind w:left="440" w:right="0"/>
      </w:pPr>
      <w:r>
        <w:t xml:space="preserve">工程造价咨询企业接受委托方的委托，运用工程造价的专业技能，为建设项目决策、设计、发承包、实施、竣工等各个阶段工程计价和工程造价管理提供的服务。 </w:t>
      </w:r>
    </w:p>
    <w:p w:rsidR="00B875DD" w:rsidRDefault="006C48F3">
      <w:pPr>
        <w:spacing w:after="0" w:line="444" w:lineRule="auto"/>
        <w:ind w:left="418" w:right="0" w:hanging="420"/>
      </w:pPr>
      <w:r>
        <w:t xml:space="preserve">2.0.2 </w:t>
      </w:r>
      <w:r>
        <w:rPr>
          <w:rFonts w:ascii="Arial" w:eastAsia="Arial" w:hAnsi="Arial" w:cs="Arial"/>
        </w:rPr>
        <w:t xml:space="preserve"> </w:t>
      </w:r>
      <w:r>
        <w:t xml:space="preserve">工程造价咨询成果文件 project cost consultancy  document deliveragles </w:t>
      </w:r>
    </w:p>
    <w:p w:rsidR="00B875DD" w:rsidRDefault="006C48F3">
      <w:pPr>
        <w:spacing w:after="49" w:line="410" w:lineRule="auto"/>
        <w:ind w:left="-1" w:right="0" w:firstLine="420"/>
      </w:pPr>
      <w:r>
        <w:t xml:space="preserve">工程造价咨询企业承担工程造价咨询业务时，为委托方出具的，反映各阶段工程造价确定与控制等成果以及管理要求的文件。 </w:t>
      </w:r>
    </w:p>
    <w:p w:rsidR="00B875DD" w:rsidRDefault="006C48F3">
      <w:pPr>
        <w:spacing w:after="280" w:line="259" w:lineRule="auto"/>
        <w:ind w:left="8" w:right="1422" w:hanging="10"/>
      </w:pPr>
      <w:r>
        <w:t xml:space="preserve">2.0.3 </w:t>
      </w:r>
      <w:r>
        <w:rPr>
          <w:rFonts w:ascii="Arial" w:eastAsia="Arial" w:hAnsi="Arial" w:cs="Arial"/>
        </w:rPr>
        <w:t xml:space="preserve"> </w:t>
      </w:r>
      <w:r>
        <w:t xml:space="preserve">编制人 compiler </w:t>
      </w:r>
    </w:p>
    <w:p w:rsidR="00B875DD" w:rsidRDefault="006C48F3">
      <w:pPr>
        <w:spacing w:after="49" w:line="410" w:lineRule="auto"/>
        <w:ind w:left="439" w:right="0"/>
      </w:pPr>
      <w:r>
        <w:t xml:space="preserve">工程造价咨询企业中，承担编制工程造价咨询成果文件的工程造价专业人员。 </w:t>
      </w:r>
    </w:p>
    <w:p w:rsidR="00B875DD" w:rsidRDefault="006C48F3">
      <w:pPr>
        <w:spacing w:after="280" w:line="259" w:lineRule="auto"/>
        <w:ind w:left="8" w:right="0" w:hanging="10"/>
      </w:pPr>
      <w:r>
        <w:t xml:space="preserve">2.0.4 </w:t>
      </w:r>
      <w:r>
        <w:rPr>
          <w:rFonts w:ascii="Arial" w:eastAsia="Arial" w:hAnsi="Arial" w:cs="Arial"/>
        </w:rPr>
        <w:t xml:space="preserve"> </w:t>
      </w:r>
      <w:r>
        <w:t xml:space="preserve">审核人 examiner </w:t>
      </w:r>
    </w:p>
    <w:p w:rsidR="00B875DD" w:rsidRDefault="006C48F3">
      <w:pPr>
        <w:spacing w:after="49" w:line="410" w:lineRule="auto"/>
        <w:ind w:left="439" w:right="0"/>
      </w:pPr>
      <w:r>
        <w:t xml:space="preserve">工程造价咨询企业中，承担审核工程造价咨询成果文件的注册造价工程师。 </w:t>
      </w:r>
    </w:p>
    <w:p w:rsidR="00B875DD" w:rsidRDefault="006C48F3">
      <w:pPr>
        <w:spacing w:after="280" w:line="259" w:lineRule="auto"/>
        <w:ind w:left="8" w:right="0" w:hanging="10"/>
      </w:pPr>
      <w:r>
        <w:t xml:space="preserve">2.0.5 </w:t>
      </w:r>
      <w:r>
        <w:rPr>
          <w:rFonts w:ascii="Arial" w:eastAsia="Arial" w:hAnsi="Arial" w:cs="Arial"/>
        </w:rPr>
        <w:t xml:space="preserve"> </w:t>
      </w:r>
      <w:r>
        <w:t xml:space="preserve">审定人 approver </w:t>
      </w:r>
    </w:p>
    <w:p w:rsidR="00B875DD" w:rsidRDefault="006C48F3">
      <w:pPr>
        <w:spacing w:after="50" w:line="410" w:lineRule="auto"/>
        <w:ind w:left="-1" w:right="0" w:firstLine="559"/>
      </w:pPr>
      <w:r>
        <w:t xml:space="preserve">工程造价咨询企业中，承担最终审定各类工程造价咨询成果文件，具有注册造价工程师执业资格的专业负责人或技术负责人。 </w:t>
      </w:r>
    </w:p>
    <w:p w:rsidR="00B875DD" w:rsidRDefault="006C48F3">
      <w:pPr>
        <w:spacing w:after="280" w:line="259" w:lineRule="auto"/>
        <w:ind w:left="8" w:right="0" w:hanging="10"/>
      </w:pPr>
      <w:r>
        <w:t xml:space="preserve">2.0.6 </w:t>
      </w:r>
      <w:r>
        <w:rPr>
          <w:rFonts w:ascii="Arial" w:eastAsia="Arial" w:hAnsi="Arial" w:cs="Arial"/>
        </w:rPr>
        <w:t xml:space="preserve"> </w:t>
      </w:r>
      <w:r>
        <w:t xml:space="preserve">清标 verification for tender document </w:t>
      </w:r>
    </w:p>
    <w:p w:rsidR="00B875DD" w:rsidRDefault="006C48F3">
      <w:pPr>
        <w:spacing w:after="50" w:line="410" w:lineRule="auto"/>
        <w:ind w:left="579" w:right="0"/>
      </w:pPr>
      <w:r>
        <w:lastRenderedPageBreak/>
        <w:t xml:space="preserve">招标人或工程造价咨询企业在开标后且评标前，对投标人的投标报价是否响应招标文件、违反国家有关规定，以及报价的合理性、算术性错误等进行审查并出具意见的活动。 </w:t>
      </w:r>
    </w:p>
    <w:p w:rsidR="00B875DD" w:rsidRDefault="006C48F3">
      <w:pPr>
        <w:spacing w:after="0" w:line="444" w:lineRule="auto"/>
        <w:ind w:left="418" w:right="0" w:hanging="420"/>
      </w:pPr>
      <w:r>
        <w:t xml:space="preserve">2.0.7 </w:t>
      </w:r>
      <w:r>
        <w:rPr>
          <w:rFonts w:ascii="Arial" w:eastAsia="Arial" w:hAnsi="Arial" w:cs="Arial"/>
        </w:rPr>
        <w:t xml:space="preserve"> </w:t>
      </w:r>
      <w:r>
        <w:t xml:space="preserve">竣工结算审定签署表 final signature list for settlement at completion </w:t>
      </w:r>
    </w:p>
    <w:p w:rsidR="00B875DD" w:rsidRDefault="006C48F3">
      <w:pPr>
        <w:spacing w:line="410" w:lineRule="auto"/>
        <w:ind w:left="-1" w:right="0" w:firstLine="559"/>
      </w:pPr>
      <w:r>
        <w:t xml:space="preserve">工程竣工结算审核报告中反映工程基本信息、送审金额、审定金额、调整金额等内容，并经发包人、承包人、工程造价咨询企业等相关方签署确认的最终工程竣工结算数额及变动情况对比的表格。 </w:t>
      </w:r>
      <w:r>
        <w:br w:type="page"/>
      </w:r>
    </w:p>
    <w:p w:rsidR="00B875DD" w:rsidRDefault="006C48F3">
      <w:pPr>
        <w:pStyle w:val="1"/>
        <w:ind w:left="442" w:hanging="442"/>
      </w:pPr>
      <w:bookmarkStart w:id="2" w:name="_Toc28336"/>
      <w:r>
        <w:lastRenderedPageBreak/>
        <w:t>基本规定</w:t>
      </w:r>
      <w:r>
        <w:rPr>
          <w:rFonts w:ascii="Times New Roman" w:eastAsia="Times New Roman" w:hAnsi="Times New Roman" w:cs="Times New Roman"/>
          <w:b/>
        </w:rPr>
        <w:t xml:space="preserve"> </w:t>
      </w:r>
      <w:bookmarkEnd w:id="2"/>
    </w:p>
    <w:p w:rsidR="00B875DD" w:rsidRDefault="006C48F3">
      <w:pPr>
        <w:pStyle w:val="2"/>
        <w:ind w:left="535" w:hanging="535"/>
      </w:pPr>
      <w:bookmarkStart w:id="3" w:name="_Toc28337"/>
      <w:r>
        <w:t>业务范围和一般要求</w:t>
      </w:r>
      <w:r>
        <w:rPr>
          <w:rFonts w:ascii="Cambria" w:eastAsia="Cambria" w:hAnsi="Cambria" w:cs="Cambria"/>
          <w:b/>
        </w:rPr>
        <w:t xml:space="preserve"> </w:t>
      </w:r>
      <w:bookmarkEnd w:id="3"/>
    </w:p>
    <w:p w:rsidR="00B875DD" w:rsidRDefault="006C48F3">
      <w:pPr>
        <w:spacing w:after="222"/>
        <w:ind w:left="6" w:right="0"/>
      </w:pPr>
      <w:r>
        <w:t xml:space="preserve">3.1.1 工程造价咨询业务范围应包括下列内容： </w:t>
      </w:r>
    </w:p>
    <w:p w:rsidR="00B875DD" w:rsidRDefault="006C48F3">
      <w:pPr>
        <w:numPr>
          <w:ilvl w:val="0"/>
          <w:numId w:val="1"/>
        </w:numPr>
        <w:spacing w:after="222"/>
        <w:ind w:right="0" w:hanging="281"/>
      </w:pPr>
      <w:r>
        <w:t xml:space="preserve">投资估算的编制与审核； </w:t>
      </w:r>
    </w:p>
    <w:p w:rsidR="00B875DD" w:rsidRDefault="006C48F3">
      <w:pPr>
        <w:numPr>
          <w:ilvl w:val="0"/>
          <w:numId w:val="1"/>
        </w:numPr>
        <w:spacing w:after="222"/>
        <w:ind w:right="0" w:hanging="281"/>
      </w:pPr>
      <w:r>
        <w:t xml:space="preserve">经济评价的编制与审核； </w:t>
      </w:r>
    </w:p>
    <w:p w:rsidR="00B875DD" w:rsidRDefault="006C48F3">
      <w:pPr>
        <w:numPr>
          <w:ilvl w:val="0"/>
          <w:numId w:val="1"/>
        </w:numPr>
        <w:spacing w:after="222"/>
        <w:ind w:right="0" w:hanging="281"/>
      </w:pPr>
      <w:r>
        <w:t xml:space="preserve">设计概算的编制、审核与调整； </w:t>
      </w:r>
    </w:p>
    <w:p w:rsidR="00B875DD" w:rsidRDefault="006C48F3">
      <w:pPr>
        <w:numPr>
          <w:ilvl w:val="0"/>
          <w:numId w:val="1"/>
        </w:numPr>
        <w:spacing w:after="222"/>
        <w:ind w:right="0" w:hanging="281"/>
      </w:pPr>
      <w:r>
        <w:t xml:space="preserve">施工图预算的编制与审核； </w:t>
      </w:r>
    </w:p>
    <w:p w:rsidR="00B875DD" w:rsidRDefault="006C48F3">
      <w:pPr>
        <w:numPr>
          <w:ilvl w:val="0"/>
          <w:numId w:val="1"/>
        </w:numPr>
        <w:spacing w:after="222"/>
        <w:ind w:right="0" w:hanging="281"/>
      </w:pPr>
      <w:r>
        <w:t xml:space="preserve">工程量清单的编制与审核； </w:t>
      </w:r>
    </w:p>
    <w:p w:rsidR="00B875DD" w:rsidRDefault="006C48F3">
      <w:pPr>
        <w:numPr>
          <w:ilvl w:val="0"/>
          <w:numId w:val="1"/>
        </w:numPr>
        <w:spacing w:after="222"/>
        <w:ind w:right="0" w:hanging="281"/>
      </w:pPr>
      <w:r>
        <w:t>最高投标限价的编制与审核；</w:t>
      </w:r>
      <w:r>
        <w:rPr>
          <w:color w:val="FFFFFF"/>
        </w:rPr>
        <w:t>冯泽军藏书</w:t>
      </w:r>
      <w:r>
        <w:t xml:space="preserve"> </w:t>
      </w:r>
    </w:p>
    <w:p w:rsidR="00B875DD" w:rsidRDefault="006C48F3">
      <w:pPr>
        <w:spacing w:after="222"/>
        <w:ind w:left="720" w:right="0"/>
      </w:pPr>
      <w:r>
        <w:t xml:space="preserve">7工程结算的编制与审核； </w:t>
      </w:r>
    </w:p>
    <w:p w:rsidR="00B875DD" w:rsidRDefault="006C48F3">
      <w:pPr>
        <w:numPr>
          <w:ilvl w:val="0"/>
          <w:numId w:val="2"/>
        </w:numPr>
        <w:spacing w:after="222"/>
        <w:ind w:right="0" w:hanging="420"/>
      </w:pPr>
      <w:r>
        <w:t xml:space="preserve">工程竣工决算的编制与审核； </w:t>
      </w:r>
    </w:p>
    <w:p w:rsidR="00B875DD" w:rsidRDefault="006C48F3">
      <w:pPr>
        <w:numPr>
          <w:ilvl w:val="0"/>
          <w:numId w:val="2"/>
        </w:numPr>
        <w:spacing w:after="222"/>
        <w:ind w:right="0" w:hanging="420"/>
      </w:pPr>
      <w:r>
        <w:t xml:space="preserve">全过程工程造价管理咨询； </w:t>
      </w:r>
    </w:p>
    <w:p w:rsidR="00B875DD" w:rsidRDefault="006C48F3">
      <w:pPr>
        <w:numPr>
          <w:ilvl w:val="0"/>
          <w:numId w:val="2"/>
        </w:numPr>
        <w:spacing w:after="222"/>
        <w:ind w:right="0" w:hanging="420"/>
      </w:pPr>
      <w:r>
        <w:t xml:space="preserve">工程造价鉴定； </w:t>
      </w:r>
    </w:p>
    <w:p w:rsidR="00B875DD" w:rsidRDefault="006C48F3">
      <w:pPr>
        <w:numPr>
          <w:ilvl w:val="0"/>
          <w:numId w:val="2"/>
        </w:numPr>
        <w:spacing w:after="222"/>
        <w:ind w:right="0" w:hanging="420"/>
      </w:pPr>
      <w:r>
        <w:t xml:space="preserve">方案比选、限额设计、优化设计的造价咨询； </w:t>
      </w:r>
    </w:p>
    <w:p w:rsidR="00B875DD" w:rsidRDefault="006C48F3">
      <w:pPr>
        <w:numPr>
          <w:ilvl w:val="0"/>
          <w:numId w:val="2"/>
        </w:numPr>
        <w:spacing w:after="222"/>
        <w:ind w:right="0" w:hanging="420"/>
      </w:pPr>
      <w:r>
        <w:t xml:space="preserve">合同管理咨询 </w:t>
      </w:r>
    </w:p>
    <w:p w:rsidR="00B875DD" w:rsidRDefault="006C48F3">
      <w:pPr>
        <w:numPr>
          <w:ilvl w:val="0"/>
          <w:numId w:val="2"/>
        </w:numPr>
        <w:spacing w:after="222"/>
        <w:ind w:right="0" w:hanging="420"/>
      </w:pPr>
      <w:r>
        <w:t xml:space="preserve">建设项目后评价 </w:t>
      </w:r>
    </w:p>
    <w:p w:rsidR="00B875DD" w:rsidRDefault="006C48F3">
      <w:pPr>
        <w:numPr>
          <w:ilvl w:val="0"/>
          <w:numId w:val="2"/>
        </w:numPr>
        <w:spacing w:after="222"/>
        <w:ind w:right="0" w:hanging="420"/>
      </w:pPr>
      <w:r>
        <w:t xml:space="preserve">工程造价信息咨询服务 </w:t>
      </w:r>
    </w:p>
    <w:p w:rsidR="00B875DD" w:rsidRDefault="006C48F3">
      <w:pPr>
        <w:numPr>
          <w:ilvl w:val="0"/>
          <w:numId w:val="2"/>
        </w:numPr>
        <w:spacing w:after="222"/>
        <w:ind w:right="0" w:hanging="420"/>
      </w:pPr>
      <w:r>
        <w:t xml:space="preserve">其他工程造价咨询工作。 </w:t>
      </w:r>
    </w:p>
    <w:p w:rsidR="00B875DD" w:rsidRDefault="006C48F3">
      <w:pPr>
        <w:spacing w:line="410" w:lineRule="auto"/>
        <w:ind w:left="6" w:right="0"/>
      </w:pPr>
      <w:r>
        <w:t xml:space="preserve">3.1.2 工程造价咨询企业在承接工程造价咨询业务时，应根据企业自身的业务胜任能力等因素进行是否承接咨询业务的判断。 </w:t>
      </w:r>
    </w:p>
    <w:p w:rsidR="00B875DD" w:rsidRDefault="006C48F3">
      <w:pPr>
        <w:spacing w:line="410" w:lineRule="auto"/>
        <w:ind w:left="6" w:right="0"/>
      </w:pPr>
      <w:r>
        <w:lastRenderedPageBreak/>
        <w:t xml:space="preserve">3.1.3 工程造价咨询企业承担咨询业务时，应编制工程造价咨询成果文件，并应符合国家有关法律、法规的有关规定。 </w:t>
      </w:r>
    </w:p>
    <w:p w:rsidR="00B875DD" w:rsidRDefault="006C48F3">
      <w:pPr>
        <w:spacing w:line="410" w:lineRule="auto"/>
        <w:ind w:left="6" w:right="0"/>
      </w:pPr>
      <w:r>
        <w:t xml:space="preserve">3.1.4 当委托单位委托多个工程造价咨询企业共同承担大型或复杂的建设项目咨询业务时，委托单位应明确业务主要承担单位，并应由业务主要承担单位负责总体规划、统一标准、阶段部署、资料汇总等综合性工作；其他单位应按合同要求负责其所承担的具体工作。 </w:t>
      </w:r>
    </w:p>
    <w:p w:rsidR="00B875DD" w:rsidRDefault="006C48F3">
      <w:pPr>
        <w:spacing w:line="410" w:lineRule="auto"/>
        <w:ind w:left="6" w:right="0"/>
      </w:pPr>
      <w:r>
        <w:t>3.1.5 对同一项目、同一阶段工程造价咨询成果文件的审核，当对编制所采用的计价依据、计价方法无异议时，宜与编制时采用的计价依据和计价办法保持一致。</w:t>
      </w:r>
      <w:r>
        <w:rPr>
          <w:color w:val="FFFFFF"/>
        </w:rPr>
        <w:t>冯泽军藏书</w:t>
      </w:r>
      <w:r>
        <w:t xml:space="preserve"> </w:t>
      </w:r>
    </w:p>
    <w:p w:rsidR="00B875DD" w:rsidRDefault="006C48F3">
      <w:pPr>
        <w:spacing w:line="410" w:lineRule="auto"/>
        <w:ind w:left="6" w:right="0"/>
      </w:pPr>
      <w:r>
        <w:t>3.1.6 工程造价咨询企业承担全过程工程造价管理咨询业务时，应掌握各阶段工程造价的关系、加强管理，在实施过程中做到工程造价的有效控制，并应依据工程造价咨询合同中约定的服务内容、范围、深度和参与程度编制相应工程造价咨询成果文件。</w:t>
      </w:r>
      <w:r>
        <w:rPr>
          <w:color w:val="FFFFFF"/>
        </w:rPr>
        <w:t>冯泽军藏书</w:t>
      </w:r>
      <w:r>
        <w:t xml:space="preserve"> </w:t>
      </w:r>
    </w:p>
    <w:p w:rsidR="00B875DD" w:rsidRDefault="006C48F3">
      <w:pPr>
        <w:spacing w:line="410" w:lineRule="auto"/>
        <w:ind w:left="6" w:right="0"/>
      </w:pPr>
      <w:r>
        <w:t xml:space="preserve">3.1.7 工程造价咨询成果文件的内容、格式、深度和精度等要求应符合工程造价咨询合同的要求，以及国家和行业相关规定。 </w:t>
      </w:r>
    </w:p>
    <w:p w:rsidR="00B875DD" w:rsidRDefault="006C48F3">
      <w:pPr>
        <w:spacing w:line="410" w:lineRule="auto"/>
        <w:ind w:left="6" w:right="0"/>
      </w:pPr>
      <w:r>
        <w:t>3.1.8 工程造价咨询企业应根据委托合同要求，配合勘察设计单位、施工单位做好方案比选、优化设计和限额设计，以及利用价值分析等方法，提出合理决策和设计方案的建议。</w:t>
      </w:r>
      <w:r>
        <w:rPr>
          <w:color w:val="FFFFFF"/>
        </w:rPr>
        <w:t>冯泽军藏书</w:t>
      </w:r>
      <w:r>
        <w:t xml:space="preserve"> </w:t>
      </w:r>
    </w:p>
    <w:p w:rsidR="00B875DD" w:rsidRDefault="006C48F3">
      <w:pPr>
        <w:spacing w:line="410" w:lineRule="auto"/>
        <w:ind w:left="6" w:right="0"/>
      </w:pPr>
      <w:r>
        <w:t>3.1.9 工程造价咨询企业在进行方案比选时，应提交方案比选报告，并应符合下列规定：</w:t>
      </w:r>
      <w:r>
        <w:rPr>
          <w:color w:val="FFFFFF"/>
        </w:rPr>
        <w:t>冯泽军藏书</w:t>
      </w:r>
      <w:r>
        <w:t xml:space="preserve"> </w:t>
      </w:r>
    </w:p>
    <w:p w:rsidR="00B875DD" w:rsidRDefault="006C48F3">
      <w:pPr>
        <w:numPr>
          <w:ilvl w:val="0"/>
          <w:numId w:val="3"/>
        </w:numPr>
        <w:spacing w:after="0" w:line="410" w:lineRule="auto"/>
        <w:ind w:right="0" w:firstLine="564"/>
      </w:pPr>
      <w:r>
        <w:t>对于使用功能单一，建设规模、建设标准及设计寿命基本相同的非经营性建设项目应优选工程造价或单方工程造价较低的方案。宜根据建设项目</w:t>
      </w:r>
      <w:r>
        <w:lastRenderedPageBreak/>
        <w:t>的构成，分析各单位工程和主要分部分项工程的技术指标，进行优劣分析，提出优选方案以及改进建议。</w:t>
      </w:r>
      <w:r>
        <w:rPr>
          <w:color w:val="FFFFFF"/>
        </w:rPr>
        <w:t>冯泽军藏书</w:t>
      </w:r>
      <w:r>
        <w:t xml:space="preserve"> </w:t>
      </w:r>
    </w:p>
    <w:p w:rsidR="00B875DD" w:rsidRDefault="006C48F3">
      <w:pPr>
        <w:numPr>
          <w:ilvl w:val="0"/>
          <w:numId w:val="3"/>
        </w:numPr>
        <w:spacing w:line="410" w:lineRule="auto"/>
        <w:ind w:right="0" w:firstLine="564"/>
      </w:pPr>
      <w:r>
        <w:t>对于使用功能单一，但建设规模、设计标准或设计寿命不同的非经营性建设项目，应综合评价一次性建设投资和项目运营过程中的费用支出，进行建设项目的全寿命周期的总费用比选，进行优劣分析，提出优选方案以及改进建议。</w:t>
      </w:r>
      <w:r>
        <w:rPr>
          <w:color w:val="FFFFFF"/>
        </w:rPr>
        <w:t>冯泽军藏书</w:t>
      </w:r>
      <w:r>
        <w:t xml:space="preserve"> </w:t>
      </w:r>
    </w:p>
    <w:p w:rsidR="00B875DD" w:rsidRDefault="006C48F3">
      <w:pPr>
        <w:numPr>
          <w:ilvl w:val="0"/>
          <w:numId w:val="3"/>
        </w:numPr>
        <w:spacing w:line="410" w:lineRule="auto"/>
        <w:ind w:right="0" w:firstLine="564"/>
      </w:pPr>
      <w:r>
        <w:t xml:space="preserve">对于经营性建设项目，应分析技术的先进性与经济的合理性，在满足设计功能和技术先进的前提下，应根据建设项目的资金筹措能力，以及投资回收期、内部收益率、净现值等财务评价指标，综合确定投资规模和工程造价，进行优劣分析，提出优选方案以及改进建议。 </w:t>
      </w:r>
    </w:p>
    <w:p w:rsidR="00B875DD" w:rsidRDefault="006C48F3">
      <w:pPr>
        <w:numPr>
          <w:ilvl w:val="0"/>
          <w:numId w:val="3"/>
        </w:numPr>
        <w:spacing w:line="410" w:lineRule="auto"/>
        <w:ind w:right="0" w:firstLine="564"/>
      </w:pPr>
      <w:r>
        <w:t xml:space="preserve">当运用价值工程的方法对不同方案的功能和成本进行分析时，应综合选取价值系数较高的方案作为优选方案，并应对降低其冗余功能和成本的途径进行分析，提出改进建议。 </w:t>
      </w:r>
    </w:p>
    <w:p w:rsidR="00B875DD" w:rsidRDefault="006C48F3">
      <w:pPr>
        <w:numPr>
          <w:ilvl w:val="0"/>
          <w:numId w:val="3"/>
        </w:numPr>
        <w:spacing w:line="410" w:lineRule="auto"/>
        <w:ind w:right="0" w:firstLine="564"/>
      </w:pPr>
      <w:r>
        <w:t>进行方案比选时，应兼顾项目近期与远期的功能要求和建设规模，实现项目的可持续发展。</w:t>
      </w:r>
      <w:r>
        <w:rPr>
          <w:color w:val="FFFFFF"/>
        </w:rPr>
        <w:t>冯泽军藏书</w:t>
      </w:r>
      <w:r>
        <w:t xml:space="preserve"> </w:t>
      </w:r>
    </w:p>
    <w:p w:rsidR="00B875DD" w:rsidRDefault="006C48F3">
      <w:pPr>
        <w:spacing w:line="410" w:lineRule="auto"/>
        <w:ind w:left="6" w:right="0"/>
      </w:pPr>
      <w:r>
        <w:t xml:space="preserve">3.1.10 工程造价咨询企业在参与优化设计时，应根据有关技术经济资料，对设计方案提出优化设计建议与意见，通过设计招标、方案竞选、深化设计等措施，使技术方案更加经济合理。 </w:t>
      </w:r>
    </w:p>
    <w:p w:rsidR="00B875DD" w:rsidRDefault="006C48F3">
      <w:pPr>
        <w:spacing w:after="498" w:line="410" w:lineRule="auto"/>
        <w:ind w:left="8" w:right="0" w:hanging="10"/>
        <w:jc w:val="both"/>
      </w:pPr>
      <w:r>
        <w:t xml:space="preserve">3.1.11 工程造价咨询企业在参与限额设计时，应配合设计单位，按项目实施内容和标准进行投资分解和投资分析，通过有关技术经济指标分析，确定合理可行的建设标准及限额。 </w:t>
      </w:r>
    </w:p>
    <w:p w:rsidR="00B875DD" w:rsidRDefault="006C48F3">
      <w:pPr>
        <w:pStyle w:val="2"/>
        <w:ind w:left="535" w:hanging="535"/>
      </w:pPr>
      <w:bookmarkStart w:id="4" w:name="_Toc28338"/>
      <w:r>
        <w:lastRenderedPageBreak/>
        <w:t>组织管理</w:t>
      </w:r>
      <w:r>
        <w:rPr>
          <w:rFonts w:ascii="Cambria" w:eastAsia="Cambria" w:hAnsi="Cambria" w:cs="Cambria"/>
          <w:b/>
        </w:rPr>
        <w:t xml:space="preserve"> </w:t>
      </w:r>
      <w:bookmarkEnd w:id="4"/>
    </w:p>
    <w:p w:rsidR="00B875DD" w:rsidRDefault="006C48F3">
      <w:pPr>
        <w:spacing w:line="410" w:lineRule="auto"/>
        <w:ind w:left="6" w:right="0"/>
      </w:pPr>
      <w:r>
        <w:t>3.2.1 工程造价咨询企业应对其所咨询的项目实施有效的组织管理，对其咨询工作中涉及的基础资料的收集、归纳和整理，各类成果文件的编制、审核、审定和修改，成果文件的提交、归档等，均应建立相应的管理制度，并落实到位。</w:t>
      </w:r>
      <w:r>
        <w:rPr>
          <w:color w:val="FFFFFF"/>
        </w:rPr>
        <w:t>冯泽军藏书</w:t>
      </w:r>
      <w:r>
        <w:t xml:space="preserve"> </w:t>
      </w:r>
    </w:p>
    <w:p w:rsidR="00B875DD" w:rsidRDefault="006C48F3">
      <w:pPr>
        <w:spacing w:line="410" w:lineRule="auto"/>
        <w:ind w:left="6" w:right="0"/>
      </w:pPr>
      <w:r>
        <w:t>3.2.2 工程造价咨询企业承担咨询业务后，应根据项目特点编制工作计划；承担大型项目或全过程工程造价管理咨询任务时，应依据项目特点、投标文件、工程造价咨询合同等编制工程造价咨询项目的工作大纲。工作大纲的内容应包括项目概况、工程造价咨询服务范围、工作组织、工作进度、人员安排、实施方案、质量管理等内容。</w:t>
      </w:r>
      <w:r>
        <w:rPr>
          <w:color w:val="FFFFFF"/>
        </w:rPr>
        <w:t>冯泽军藏书</w:t>
      </w:r>
      <w:r>
        <w:t xml:space="preserve"> </w:t>
      </w:r>
    </w:p>
    <w:p w:rsidR="00B875DD" w:rsidRDefault="006C48F3">
      <w:pPr>
        <w:spacing w:line="410" w:lineRule="auto"/>
        <w:ind w:left="6" w:right="0"/>
      </w:pPr>
      <w:r>
        <w:t>3.2.3 工程造价咨询企业应完善项目的流程管理，明确项目工作人员的职责，工程造价咨询项目的工作人员应包括现场和非现场的管理、编制、审核与审</w:t>
      </w:r>
    </w:p>
    <w:p w:rsidR="00B875DD" w:rsidRDefault="006C48F3">
      <w:pPr>
        <w:spacing w:line="410" w:lineRule="auto"/>
        <w:ind w:left="6" w:right="0"/>
      </w:pPr>
      <w:r>
        <w:t xml:space="preserve">定人员。各类管理人员的安排除应符合工程造价咨询服务合同要求外，还应符合项目质量管理和档案管理等其他方面的要求。 </w:t>
      </w:r>
    </w:p>
    <w:p w:rsidR="00B875DD" w:rsidRDefault="006C48F3">
      <w:pPr>
        <w:spacing w:line="410" w:lineRule="auto"/>
        <w:ind w:left="6" w:right="0"/>
      </w:pPr>
      <w:r>
        <w:t>3.2.4 工程造价咨询企业应建立有效的内部组织管理和外部组织协调体系，并应符合下列规定：</w:t>
      </w:r>
      <w:r>
        <w:rPr>
          <w:color w:val="FFFFFF"/>
        </w:rPr>
        <w:t>冯</w:t>
      </w:r>
      <w:r>
        <w:t xml:space="preserve"> </w:t>
      </w:r>
    </w:p>
    <w:p w:rsidR="00B875DD" w:rsidRDefault="006C48F3">
      <w:pPr>
        <w:numPr>
          <w:ilvl w:val="0"/>
          <w:numId w:val="4"/>
        </w:numPr>
        <w:spacing w:line="410" w:lineRule="auto"/>
        <w:ind w:right="64" w:hanging="10"/>
      </w:pPr>
      <w:r>
        <w:t>内部组织管理体系应包括承担咨询项目的管理模式、企业各级组织管理的职责与分工、现场管理和非现场管理的协调方式，项目负责人和各专业负责人的职责等。</w:t>
      </w:r>
      <w:r>
        <w:rPr>
          <w:color w:val="FFFFFF"/>
        </w:rPr>
        <w:t>冯泽军藏书</w:t>
      </w:r>
      <w:r>
        <w:t xml:space="preserve"> </w:t>
      </w:r>
    </w:p>
    <w:p w:rsidR="00B875DD" w:rsidRDefault="006C48F3">
      <w:pPr>
        <w:numPr>
          <w:ilvl w:val="0"/>
          <w:numId w:val="4"/>
        </w:numPr>
        <w:spacing w:after="0" w:line="410" w:lineRule="auto"/>
        <w:ind w:right="64" w:hanging="10"/>
      </w:pPr>
      <w:r>
        <w:lastRenderedPageBreak/>
        <w:t xml:space="preserve">外部组织协调体系应以工程造价咨询合同约定的服务内容为核心，明确协调和联系人员，在确保工程项目参与各方权利与义务的前提下，协调好与建设项目参与各方的关系，促进项目的顺利实施。 </w:t>
      </w:r>
    </w:p>
    <w:p w:rsidR="00B875DD" w:rsidRDefault="006C48F3">
      <w:pPr>
        <w:spacing w:line="410" w:lineRule="auto"/>
        <w:ind w:left="6" w:right="0"/>
      </w:pPr>
      <w:r>
        <w:t xml:space="preserve">3.2.5 工程造价咨询企业应按工程造价咨询合同的要求制定工作进度计划，各类工程造价咨询成果文件的提交时间应与总体进度相协调，工程造价咨询的工作进度计划除应服从整个建设项目的总体进度和施工工期的要求外，还应满足各类工程造价咨询成果文件编制的合理工期的要求。 </w:t>
      </w:r>
      <w:r>
        <w:br w:type="page"/>
      </w:r>
    </w:p>
    <w:p w:rsidR="00B875DD" w:rsidRDefault="006C48F3">
      <w:pPr>
        <w:pStyle w:val="2"/>
        <w:ind w:left="535" w:hanging="535"/>
      </w:pPr>
      <w:bookmarkStart w:id="5" w:name="_Toc28339"/>
      <w:r>
        <w:lastRenderedPageBreak/>
        <w:t>质量管理</w:t>
      </w:r>
      <w:bookmarkEnd w:id="5"/>
    </w:p>
    <w:p w:rsidR="00B875DD" w:rsidRDefault="006C48F3">
      <w:pPr>
        <w:spacing w:line="410" w:lineRule="auto"/>
        <w:ind w:left="6" w:right="0"/>
      </w:pPr>
      <w:r>
        <w:t xml:space="preserve">3.3.1 工程造价咨询企业应针对工程造价咨询业务建立质量管理体系，并应通过流程控制、企业标准等措施保证工程造价咨询质量。 </w:t>
      </w:r>
    </w:p>
    <w:p w:rsidR="00B875DD" w:rsidRDefault="006C48F3">
      <w:pPr>
        <w:spacing w:line="410" w:lineRule="auto"/>
        <w:ind w:left="6" w:right="0"/>
      </w:pPr>
      <w:r>
        <w:t>3.3.2 工程造价咨询企业提交的各类成果文件应由编制人编制，并应由审核人、审定人进行二级审核。</w:t>
      </w:r>
      <w:r>
        <w:rPr>
          <w:color w:val="FFFFFF"/>
        </w:rPr>
        <w:t>冯泽军藏书</w:t>
      </w:r>
      <w:r>
        <w:t xml:space="preserve"> </w:t>
      </w:r>
    </w:p>
    <w:p w:rsidR="00B875DD" w:rsidRDefault="006C48F3">
      <w:pPr>
        <w:spacing w:line="410" w:lineRule="auto"/>
        <w:ind w:left="6" w:right="0"/>
      </w:pPr>
      <w:r>
        <w:t>3.3.3 承担咨询业务的编制人应审核委托人提供的书面资料的完整性、有效性、合规性，并应对自身所收集的工程计量、计价基础资料和编制依据的全面性、真实性和适用性负责，按工程造价咨询合同的要求，编制工程造价咨询成果文件，并整理好工作过程文件。</w:t>
      </w:r>
      <w:r>
        <w:rPr>
          <w:color w:val="FFFFFF"/>
        </w:rPr>
        <w:t>冯泽军藏书</w:t>
      </w:r>
      <w:r>
        <w:t xml:space="preserve"> </w:t>
      </w:r>
    </w:p>
    <w:p w:rsidR="00B875DD" w:rsidRDefault="006C48F3">
      <w:pPr>
        <w:spacing w:line="410" w:lineRule="auto"/>
        <w:ind w:left="6" w:right="0"/>
      </w:pPr>
      <w:r>
        <w:t xml:space="preserve">3.3.4 承担咨询业务的审核人应审核委托人提供的书面资料的完整性、有效性、合规性；应审核编制人使用工程计量、计价基础资料和编制依据的全面性、真实性和适用性，并应对编制人的工作成果进行一定比例的复核，完善工程造价咨询成果文件，并整理好工作过程文件。 </w:t>
      </w:r>
    </w:p>
    <w:p w:rsidR="00B875DD" w:rsidRDefault="006C48F3">
      <w:pPr>
        <w:spacing w:line="410" w:lineRule="auto"/>
        <w:ind w:left="6" w:right="0"/>
      </w:pPr>
      <w:r>
        <w:t xml:space="preserve">3.3.5 承担工程造价咨询业务的审定人应审核委托人提供的书面资料的完整性、有效性、合规性；应审核编制人及审核人所使用工程计量、计价基础资料和编制依据全面性、真实性和适用性，并应依据工程经济指标进行工程造价的合理性分析，对工程造价咨询质量进行整体控制。 </w:t>
      </w:r>
    </w:p>
    <w:p w:rsidR="00B875DD" w:rsidRDefault="006C48F3">
      <w:pPr>
        <w:spacing w:line="410" w:lineRule="auto"/>
        <w:ind w:left="6" w:right="0"/>
      </w:pPr>
      <w:r>
        <w:t>3.3.6 工程造价咨询企业应在工程造价咨询成果文件的封面（或内封）、签署页签章。承担工程造价咨询项目的编制人、审核人、审定人应在工程造价咨询成果文件的签署页及汇总表上签章，并应在其所有承担的咨询业务文件的明细表上署名。</w:t>
      </w:r>
      <w:r>
        <w:rPr>
          <w:color w:val="FFFFFF"/>
        </w:rPr>
        <w:t>冯泽军藏书冯泽军藏书</w:t>
      </w:r>
    </w:p>
    <w:p w:rsidR="00B875DD" w:rsidRDefault="006C48F3">
      <w:pPr>
        <w:pStyle w:val="2"/>
        <w:spacing w:after="320"/>
        <w:ind w:left="2785" w:right="0" w:hanging="535"/>
      </w:pPr>
      <w:bookmarkStart w:id="6" w:name="_Toc28340"/>
      <w:r>
        <w:lastRenderedPageBreak/>
        <w:t>档案管理</w:t>
      </w:r>
      <w:r>
        <w:tab/>
      </w:r>
      <w:bookmarkEnd w:id="6"/>
    </w:p>
    <w:p w:rsidR="00B875DD" w:rsidRDefault="006C48F3">
      <w:pPr>
        <w:spacing w:line="410" w:lineRule="auto"/>
        <w:ind w:left="6" w:right="0"/>
      </w:pPr>
      <w:r>
        <w:t xml:space="preserve">3.4.1 工程造价咨询企业应按国家有关档案管理及国家现行标准的规定，的有关规定，建立档案收集制度、统计制度、保密制度、借阅制度、库房管理制度及档案管理人员守则等。 </w:t>
      </w:r>
    </w:p>
    <w:p w:rsidR="00B875DD" w:rsidRDefault="006C48F3">
      <w:pPr>
        <w:spacing w:line="410" w:lineRule="auto"/>
        <w:ind w:left="6" w:right="0"/>
      </w:pPr>
      <w:r>
        <w:t>3.4.2 工程造价咨询档案可分为成果文件和过程文件两类。成果文件应包括工程造价咨询企业出具的投资估算、设计概算、施工图预算、工程量清单、</w:t>
      </w:r>
    </w:p>
    <w:p w:rsidR="00B875DD" w:rsidRDefault="006C48F3">
      <w:pPr>
        <w:spacing w:line="410" w:lineRule="auto"/>
        <w:ind w:left="6" w:right="0"/>
      </w:pPr>
      <w:r>
        <w:t>最高投标限价、工程计量与支付、竣工结算、竣工决算编制与审核报告以及工程造价鉴定意见书等。过程文件应包括编制、审核、审定人员的工作底稿、相应电子文件等。</w:t>
      </w:r>
      <w:r>
        <w:rPr>
          <w:color w:val="FFFFFF"/>
        </w:rPr>
        <w:t>冯泽军藏书</w:t>
      </w:r>
      <w:r>
        <w:t xml:space="preserve"> </w:t>
      </w:r>
    </w:p>
    <w:p w:rsidR="00B875DD" w:rsidRDefault="006C48F3">
      <w:pPr>
        <w:spacing w:line="410" w:lineRule="auto"/>
        <w:ind w:left="6" w:right="0"/>
      </w:pPr>
      <w:r>
        <w:t>3.4.3 工程造价咨询档案的保存期应符合合同和国家等相关规定外，且不应少于5年。</w:t>
      </w:r>
      <w:r>
        <w:rPr>
          <w:color w:val="FFFFFF"/>
        </w:rPr>
        <w:t>冯泽军藏书</w:t>
      </w:r>
      <w:r>
        <w:t xml:space="preserve"> </w:t>
      </w:r>
    </w:p>
    <w:p w:rsidR="00B875DD" w:rsidRDefault="006C48F3">
      <w:pPr>
        <w:spacing w:line="410" w:lineRule="auto"/>
        <w:ind w:left="6" w:right="0"/>
      </w:pPr>
      <w:r>
        <w:t xml:space="preserve">3.4.4 承担咨询业务的项目负责人应负责工程造价咨询档案管理，除应负责成果文件和过程文件的归档外，还应负责组织并制定咨询业务中所借阅和使用的各类设计文件、施工合同文件、竣工资料等有关可追溯性资料的文件目录，并应对接收、借阅和送还进行记录。 </w:t>
      </w:r>
    </w:p>
    <w:p w:rsidR="00B875DD" w:rsidRDefault="006C48F3">
      <w:pPr>
        <w:spacing w:after="0" w:line="259" w:lineRule="auto"/>
        <w:ind w:left="12" w:right="0" w:firstLine="0"/>
      </w:pPr>
      <w:r>
        <w:rPr>
          <w:color w:val="006FC0"/>
        </w:rPr>
        <w:t xml:space="preserve"> </w:t>
      </w:r>
    </w:p>
    <w:p w:rsidR="00B875DD" w:rsidRDefault="006C48F3">
      <w:pPr>
        <w:pStyle w:val="2"/>
        <w:ind w:left="535" w:hanging="535"/>
      </w:pPr>
      <w:bookmarkStart w:id="7" w:name="_Toc28341"/>
      <w:r>
        <w:t>信息管理</w:t>
      </w:r>
      <w:bookmarkEnd w:id="7"/>
    </w:p>
    <w:p w:rsidR="00B875DD" w:rsidRDefault="006C48F3">
      <w:pPr>
        <w:spacing w:line="410" w:lineRule="auto"/>
        <w:ind w:left="6" w:right="0"/>
      </w:pPr>
      <w:r>
        <w:t xml:space="preserve">3.5.1 工程造价咨询企业应充分利用计算机及网络通讯技术进行有效的信息管理。工程造价的信息管理应包括工程造价数据库、工程计量与计价等工具软件、全过程工程造价管理系统的建设、使用、维护和管理等活动。 </w:t>
      </w:r>
    </w:p>
    <w:p w:rsidR="00B875DD" w:rsidRDefault="006C48F3">
      <w:pPr>
        <w:spacing w:line="410" w:lineRule="auto"/>
        <w:ind w:left="6" w:right="0"/>
      </w:pPr>
      <w:r>
        <w:lastRenderedPageBreak/>
        <w:t xml:space="preserve">3.5.2 工程造价咨询企业应利用现代化的信息管理手段，自行建立或利用相关工程造价信息资料、各类典型工程数据库，以及在咨询业务中各类工程项目上积累的工程造价信息，建立并完善工程造价数据库。 </w:t>
      </w:r>
    </w:p>
    <w:p w:rsidR="00B875DD" w:rsidRDefault="006C48F3">
      <w:pPr>
        <w:spacing w:line="410" w:lineRule="auto"/>
        <w:ind w:left="6" w:right="0"/>
      </w:pPr>
      <w:r>
        <w:t>3.5.3 工程造价咨询企业应按标准化、网络化的原则，在工程项目各阶段采用工程造价管理软件。</w:t>
      </w:r>
      <w:r>
        <w:rPr>
          <w:color w:val="FFFFFF"/>
        </w:rPr>
        <w:t>冯泽军藏书</w:t>
      </w:r>
      <w:r>
        <w:t xml:space="preserve"> </w:t>
      </w:r>
    </w:p>
    <w:p w:rsidR="00B875DD" w:rsidRDefault="006C48F3">
      <w:pPr>
        <w:spacing w:line="419" w:lineRule="auto"/>
        <w:ind w:left="6" w:right="0"/>
      </w:pPr>
      <w:r>
        <w:rPr>
          <w:noProof/>
        </w:rPr>
        <w:drawing>
          <wp:anchor distT="0" distB="0" distL="114300" distR="114300" simplePos="0" relativeHeight="251660288" behindDoc="1" locked="0" layoutInCell="1" allowOverlap="0">
            <wp:simplePos x="0" y="0"/>
            <wp:positionH relativeFrom="column">
              <wp:posOffset>2720188</wp:posOffset>
            </wp:positionH>
            <wp:positionV relativeFrom="paragraph">
              <wp:posOffset>388836</wp:posOffset>
            </wp:positionV>
            <wp:extent cx="381000" cy="381000"/>
            <wp:effectExtent l="0" t="0" r="0" b="0"/>
            <wp:wrapNone/>
            <wp:docPr id="1297" name="Picture 1297"/>
            <wp:cNvGraphicFramePr/>
            <a:graphic xmlns:a="http://schemas.openxmlformats.org/drawingml/2006/main">
              <a:graphicData uri="http://schemas.openxmlformats.org/drawingml/2006/picture">
                <pic:pic xmlns:pic="http://schemas.openxmlformats.org/drawingml/2006/picture">
                  <pic:nvPicPr>
                    <pic:cNvPr id="1297" name="Picture 1297"/>
                    <pic:cNvPicPr/>
                  </pic:nvPicPr>
                  <pic:blipFill>
                    <a:blip r:embed="rId15"/>
                    <a:stretch>
                      <a:fillRect/>
                    </a:stretch>
                  </pic:blipFill>
                  <pic:spPr>
                    <a:xfrm>
                      <a:off x="0" y="0"/>
                      <a:ext cx="381000" cy="381000"/>
                    </a:xfrm>
                    <a:prstGeom prst="rect">
                      <a:avLst/>
                    </a:prstGeom>
                  </pic:spPr>
                </pic:pic>
              </a:graphicData>
            </a:graphic>
          </wp:anchor>
        </w:drawing>
      </w:r>
      <w:r>
        <w:t>3.5.4 工程造价咨询企业承担全过程工程造价管理咨询业务时，应依据合同要求，对各阶段工程造价咨询成果和所收集的工程造价信息资料进行整理分析，并应用于下一阶段的工程造价确定与控制等环节。</w:t>
      </w:r>
    </w:p>
    <w:p w:rsidR="00B875DD" w:rsidRDefault="006C48F3">
      <w:pPr>
        <w:spacing w:after="736" w:line="259" w:lineRule="auto"/>
        <w:ind w:left="0" w:right="0" w:firstLine="0"/>
      </w:pPr>
      <w:r>
        <w:rPr>
          <w:sz w:val="30"/>
        </w:rPr>
        <w:t xml:space="preserve"> </w:t>
      </w:r>
    </w:p>
    <w:p w:rsidR="00B875DD" w:rsidRDefault="006C48F3">
      <w:pPr>
        <w:pStyle w:val="1"/>
        <w:ind w:left="442" w:hanging="442"/>
      </w:pPr>
      <w:bookmarkStart w:id="8" w:name="_Toc28342"/>
      <w:r>
        <w:t>决策阶段</w:t>
      </w:r>
      <w:r>
        <w:rPr>
          <w:rFonts w:ascii="Times New Roman" w:eastAsia="Times New Roman" w:hAnsi="Times New Roman" w:cs="Times New Roman"/>
          <w:b/>
        </w:rPr>
        <w:t xml:space="preserve"> </w:t>
      </w:r>
      <w:bookmarkEnd w:id="8"/>
    </w:p>
    <w:p w:rsidR="00B875DD" w:rsidRDefault="006C48F3">
      <w:pPr>
        <w:pStyle w:val="2"/>
        <w:ind w:left="535" w:right="136" w:hanging="535"/>
      </w:pPr>
      <w:bookmarkStart w:id="9" w:name="_Toc28343"/>
      <w:r>
        <w:t>一般规定</w:t>
      </w:r>
      <w:r>
        <w:rPr>
          <w:rFonts w:ascii="Cambria" w:eastAsia="Cambria" w:hAnsi="Cambria" w:cs="Cambria"/>
          <w:b/>
        </w:rPr>
        <w:t xml:space="preserve">  </w:t>
      </w:r>
      <w:bookmarkEnd w:id="9"/>
    </w:p>
    <w:p w:rsidR="00B875DD" w:rsidRDefault="006C48F3">
      <w:pPr>
        <w:spacing w:after="222"/>
        <w:ind w:left="6" w:right="0"/>
      </w:pPr>
      <w:r>
        <w:t xml:space="preserve">4.1.1  工程造价咨询企业在决策阶段可接受委托进行以下工作： </w:t>
      </w:r>
    </w:p>
    <w:p w:rsidR="00B875DD" w:rsidRDefault="006C48F3">
      <w:pPr>
        <w:spacing w:after="222"/>
        <w:ind w:left="580" w:right="0"/>
      </w:pPr>
      <w:r>
        <w:t xml:space="preserve">1.投资估算的编制与审核； </w:t>
      </w:r>
    </w:p>
    <w:p w:rsidR="00B875DD" w:rsidRDefault="006C48F3">
      <w:pPr>
        <w:spacing w:after="222"/>
        <w:ind w:left="579" w:right="0"/>
      </w:pPr>
      <w:r>
        <w:t xml:space="preserve">2. 建设项目经济评价。 </w:t>
      </w:r>
    </w:p>
    <w:p w:rsidR="00B875DD" w:rsidRDefault="006C48F3">
      <w:pPr>
        <w:spacing w:line="410" w:lineRule="auto"/>
        <w:ind w:left="6" w:right="0"/>
      </w:pPr>
      <w:r>
        <w:t xml:space="preserve">4.1.2  编制投资估算时，应依据相应工程造价管理机构发布的工程计价依据，以及工程造价咨询企业积累的有关资料，并应在分析编制期市场要素价格变化的基础上，合理确定建设项目总投资。 </w:t>
      </w:r>
    </w:p>
    <w:p w:rsidR="00B875DD" w:rsidRDefault="006C48F3">
      <w:pPr>
        <w:spacing w:line="410" w:lineRule="auto"/>
        <w:ind w:left="6" w:right="0"/>
      </w:pPr>
      <w:r>
        <w:t xml:space="preserve">4.1.3  经济评价应依据国家有关政策和现行标准，在项目方案设计的基础上，对拟建项目的经济合理性和财务可行性进行分析论证，并进行全面评价。 </w:t>
      </w:r>
    </w:p>
    <w:p w:rsidR="00B875DD" w:rsidRDefault="006C48F3">
      <w:pPr>
        <w:spacing w:line="410" w:lineRule="auto"/>
        <w:ind w:left="6" w:right="0"/>
      </w:pPr>
      <w:r>
        <w:lastRenderedPageBreak/>
        <w:t>4.1.4  审核投资估算时，应依据相应工程造价管理机构发布的工程计价依据，以及其他有关资料，审核投资估算中所采用的编制依据的正确性、编制方法的适用性、编制内容与要求的一致性、投资估算中费用项目的准确性、全面性和合理性。</w:t>
      </w:r>
      <w:r>
        <w:rPr>
          <w:color w:val="FFFFFF"/>
        </w:rPr>
        <w:t>冯泽军藏书</w:t>
      </w:r>
      <w:r>
        <w:t xml:space="preserve"> </w:t>
      </w:r>
    </w:p>
    <w:p w:rsidR="00B875DD" w:rsidRDefault="006C48F3">
      <w:pPr>
        <w:spacing w:after="496" w:line="259" w:lineRule="auto"/>
        <w:ind w:left="13" w:right="0" w:firstLine="0"/>
      </w:pPr>
      <w:r>
        <w:rPr>
          <w:color w:val="FF0000"/>
        </w:rPr>
        <w:t xml:space="preserve"> </w:t>
      </w:r>
    </w:p>
    <w:p w:rsidR="00B875DD" w:rsidRDefault="006C48F3">
      <w:pPr>
        <w:pStyle w:val="2"/>
        <w:ind w:left="535" w:right="133" w:hanging="535"/>
      </w:pPr>
      <w:bookmarkStart w:id="10" w:name="_Toc28344"/>
      <w:r>
        <w:t>投资估算编制</w:t>
      </w:r>
      <w:r>
        <w:rPr>
          <w:rFonts w:ascii="Cambria" w:eastAsia="Cambria" w:hAnsi="Cambria" w:cs="Cambria"/>
          <w:b/>
        </w:rPr>
        <w:t xml:space="preserve"> </w:t>
      </w:r>
      <w:bookmarkEnd w:id="10"/>
    </w:p>
    <w:p w:rsidR="00B875DD" w:rsidRDefault="006C48F3">
      <w:pPr>
        <w:spacing w:line="410" w:lineRule="auto"/>
        <w:ind w:left="6" w:right="0"/>
      </w:pPr>
      <w:r>
        <w:t xml:space="preserve">4.2.1  投资估算按委托内容可分为建设项目的投资估算、单项工程投资估算、单位工程投资估算。  </w:t>
      </w:r>
    </w:p>
    <w:p w:rsidR="00B875DD" w:rsidRDefault="006C48F3">
      <w:pPr>
        <w:spacing w:after="222"/>
        <w:ind w:left="6" w:right="0"/>
      </w:pPr>
      <w:r>
        <w:t>4.2.2  项目建议书阶段的投资估算可采用生产能力指数法、系数估算法、比</w:t>
      </w:r>
    </w:p>
    <w:p w:rsidR="00B875DD" w:rsidRDefault="006C48F3">
      <w:pPr>
        <w:spacing w:line="410" w:lineRule="auto"/>
        <w:ind w:left="6" w:right="0"/>
      </w:pPr>
      <w:r>
        <w:t>例估算法、指标估算法或混合法进行编制；可行性研究阶段投资估算宜采用指标估算法进行编制。</w:t>
      </w:r>
      <w:r>
        <w:rPr>
          <w:color w:val="FFFFFF"/>
        </w:rPr>
        <w:t>冯泽军藏书</w:t>
      </w:r>
      <w:r>
        <w:t xml:space="preserve"> </w:t>
      </w:r>
    </w:p>
    <w:p w:rsidR="00B875DD" w:rsidRDefault="006C48F3">
      <w:pPr>
        <w:spacing w:line="384" w:lineRule="auto"/>
        <w:ind w:left="6" w:right="0"/>
      </w:pPr>
      <w:r>
        <w:t xml:space="preserve">4.2.3  投资估算的建设项目总投资应由建设投资、建设期利息、固定资产投资方向调节税和流动资金组成。建设投资应包括工程费用、工程建设其他费用和预备费。工程费用应包括建筑工程费、设备购置费、安装工程费。预备费应包括基本预备费和价差预备费。建设期利息应包括支付金融机构的贷款利息和为筹集资金而发生的融资费用。 </w:t>
      </w:r>
      <w:r>
        <w:tab/>
      </w:r>
    </w:p>
    <w:p w:rsidR="00B875DD" w:rsidRDefault="006C48F3">
      <w:pPr>
        <w:spacing w:line="410" w:lineRule="auto"/>
        <w:ind w:left="6" w:right="0"/>
      </w:pPr>
      <w:r>
        <w:t>4.2.4  投资估算应依据建设项目的特征、设计文件和相应的工程造价计价依据或资料对建设项目总投资及其构成进行编制，并应对主要技术经济指标进行分析。</w:t>
      </w:r>
      <w:r>
        <w:rPr>
          <w:color w:val="FFFFFF"/>
        </w:rPr>
        <w:t>冯泽军藏书</w:t>
      </w:r>
      <w:r>
        <w:t xml:space="preserve"> </w:t>
      </w:r>
    </w:p>
    <w:p w:rsidR="00B875DD" w:rsidRDefault="006C48F3">
      <w:pPr>
        <w:spacing w:after="270"/>
        <w:ind w:left="6" w:right="0"/>
      </w:pPr>
      <w:r>
        <w:t xml:space="preserve">4.2.5  投资估算编制依据应包括以下内容： </w:t>
      </w:r>
    </w:p>
    <w:p w:rsidR="00B875DD" w:rsidRDefault="006C48F3">
      <w:pPr>
        <w:numPr>
          <w:ilvl w:val="0"/>
          <w:numId w:val="5"/>
        </w:numPr>
        <w:spacing w:after="318"/>
        <w:ind w:right="0" w:hanging="408"/>
      </w:pPr>
      <w:r>
        <w:t xml:space="preserve">国家、行业和地方有关规定； </w:t>
      </w:r>
    </w:p>
    <w:p w:rsidR="00B875DD" w:rsidRDefault="006C48F3">
      <w:pPr>
        <w:numPr>
          <w:ilvl w:val="0"/>
          <w:numId w:val="5"/>
        </w:numPr>
        <w:spacing w:after="318"/>
        <w:ind w:right="0" w:hanging="408"/>
      </w:pPr>
      <w:r>
        <w:lastRenderedPageBreak/>
        <w:t xml:space="preserve">相应投资估算指标； </w:t>
      </w:r>
    </w:p>
    <w:p w:rsidR="00B875DD" w:rsidRDefault="006C48F3">
      <w:pPr>
        <w:numPr>
          <w:ilvl w:val="0"/>
          <w:numId w:val="5"/>
        </w:numPr>
        <w:spacing w:after="319"/>
        <w:ind w:right="0" w:hanging="408"/>
      </w:pPr>
      <w:r>
        <w:t xml:space="preserve">工程勘察与设计文件等；  </w:t>
      </w:r>
    </w:p>
    <w:p w:rsidR="00B875DD" w:rsidRDefault="006C48F3">
      <w:pPr>
        <w:numPr>
          <w:ilvl w:val="0"/>
          <w:numId w:val="5"/>
        </w:numPr>
        <w:spacing w:after="321"/>
        <w:ind w:right="0" w:hanging="408"/>
      </w:pPr>
      <w:r>
        <w:t xml:space="preserve">类似工程的技术经济指标和参数； </w:t>
      </w:r>
    </w:p>
    <w:p w:rsidR="00B875DD" w:rsidRDefault="006C48F3">
      <w:pPr>
        <w:numPr>
          <w:ilvl w:val="0"/>
          <w:numId w:val="5"/>
        </w:numPr>
        <w:spacing w:after="272"/>
        <w:ind w:right="0" w:hanging="408"/>
      </w:pPr>
      <w:r>
        <w:t xml:space="preserve">工程所在地编制同期的人工、材料、机械台班市场价格，以及设备的市场价格和有关费用； </w:t>
      </w:r>
    </w:p>
    <w:p w:rsidR="00B875DD" w:rsidRDefault="006C48F3">
      <w:pPr>
        <w:numPr>
          <w:ilvl w:val="0"/>
          <w:numId w:val="5"/>
        </w:numPr>
        <w:spacing w:line="443" w:lineRule="auto"/>
        <w:ind w:right="0" w:hanging="408"/>
      </w:pPr>
      <w:r>
        <w:t xml:space="preserve">政府有关部门、金融机构等部门发布的价格指数、利率、汇率、税率，以及工程建设其他费用等。 </w:t>
      </w:r>
    </w:p>
    <w:p w:rsidR="00B875DD" w:rsidRDefault="006C48F3">
      <w:pPr>
        <w:numPr>
          <w:ilvl w:val="0"/>
          <w:numId w:val="5"/>
        </w:numPr>
        <w:spacing w:after="280" w:line="259" w:lineRule="auto"/>
        <w:ind w:right="0" w:hanging="408"/>
      </w:pPr>
      <w:r>
        <w:t xml:space="preserve">委托单位提供的各类合同或协议及其他技术经济资料。 </w:t>
      </w:r>
    </w:p>
    <w:p w:rsidR="00B875DD" w:rsidRDefault="006C48F3">
      <w:pPr>
        <w:spacing w:line="410" w:lineRule="auto"/>
        <w:ind w:left="6" w:right="0"/>
      </w:pPr>
      <w:r>
        <w:t xml:space="preserve">4.2.6  投资估算成果文件的编制应包括投资估算书封面、签署页、目录、编制说明、投资估算汇总表、单项工程投资估算表等，投资估算成果文件可按本规范附录A编制。 </w:t>
      </w:r>
    </w:p>
    <w:p w:rsidR="00B875DD" w:rsidRDefault="006C48F3">
      <w:pPr>
        <w:spacing w:line="410" w:lineRule="auto"/>
        <w:ind w:left="6" w:right="0"/>
      </w:pPr>
      <w:r>
        <w:t xml:space="preserve">4.2.7  投资估算编制说明应包括工程概况、编制范围、编制方法、编制依据、主要技术经济指标及投资构成分析、有关参数和率值选定的说明，以及特殊问题说明等。 </w:t>
      </w:r>
    </w:p>
    <w:p w:rsidR="00B875DD" w:rsidRDefault="006C48F3">
      <w:pPr>
        <w:spacing w:after="222"/>
        <w:ind w:left="6" w:right="0"/>
      </w:pPr>
      <w:r>
        <w:t xml:space="preserve">4.2.8  投资估算说明中，投资构成分析应包括下列内容： </w:t>
      </w:r>
    </w:p>
    <w:p w:rsidR="00B875DD" w:rsidRDefault="006C48F3">
      <w:pPr>
        <w:numPr>
          <w:ilvl w:val="0"/>
          <w:numId w:val="6"/>
        </w:numPr>
        <w:spacing w:after="222"/>
        <w:ind w:right="0" w:hanging="420"/>
      </w:pPr>
      <w:r>
        <w:t xml:space="preserve">主要单项工程投资占比分析； </w:t>
      </w:r>
    </w:p>
    <w:p w:rsidR="00B875DD" w:rsidRDefault="006C48F3">
      <w:pPr>
        <w:numPr>
          <w:ilvl w:val="0"/>
          <w:numId w:val="6"/>
        </w:numPr>
        <w:spacing w:line="410" w:lineRule="auto"/>
        <w:ind w:right="0" w:hanging="420"/>
      </w:pPr>
      <w:r>
        <w:t xml:space="preserve">建筑工程费、设备购置费、安装工程费、工程建设其他费用、预备费占建设总投资的比例分析；引进设备费用占全部设备费用的比例分析等。 </w:t>
      </w:r>
    </w:p>
    <w:p w:rsidR="00B875DD" w:rsidRDefault="006C48F3">
      <w:pPr>
        <w:numPr>
          <w:ilvl w:val="0"/>
          <w:numId w:val="6"/>
        </w:numPr>
        <w:spacing w:after="222"/>
        <w:ind w:right="0" w:hanging="420"/>
      </w:pPr>
      <w:r>
        <w:t xml:space="preserve">影响投资的主要因素分析。 </w:t>
      </w:r>
    </w:p>
    <w:p w:rsidR="00B875DD" w:rsidRDefault="006C48F3">
      <w:pPr>
        <w:numPr>
          <w:ilvl w:val="0"/>
          <w:numId w:val="6"/>
        </w:numPr>
        <w:spacing w:after="222"/>
        <w:ind w:right="0" w:hanging="420"/>
      </w:pPr>
      <w:r>
        <w:t xml:space="preserve">与国内类似工程项目的比较。 </w:t>
      </w:r>
    </w:p>
    <w:p w:rsidR="00B875DD" w:rsidRDefault="006C48F3">
      <w:pPr>
        <w:spacing w:line="410" w:lineRule="auto"/>
        <w:ind w:left="6" w:right="0"/>
      </w:pPr>
      <w:r>
        <w:lastRenderedPageBreak/>
        <w:t xml:space="preserve">4.2.9  投资估算汇总表纵向应分解到单项工程费用，并应包括工程建设其他费用、预备费、建设期利息等，若为生产经营性项目还应包括流动资金。投资估算汇总表横向应分解到建筑工程费、设备购置费、安装工程费和其他费用。 </w:t>
      </w:r>
    </w:p>
    <w:p w:rsidR="00B875DD" w:rsidRDefault="006C48F3">
      <w:pPr>
        <w:spacing w:after="0" w:line="410" w:lineRule="auto"/>
        <w:ind w:left="8" w:right="0" w:hanging="10"/>
        <w:jc w:val="both"/>
      </w:pPr>
      <w:r>
        <w:t xml:space="preserve">4.2.10  可行性研究阶段的投资估算应编制单项工程投资估算表，单项工程投资估算表纵向应分解到主要单位工程，横向应分解到建筑工程费、设备购置费、安装工程费。 </w:t>
      </w:r>
    </w:p>
    <w:p w:rsidR="00B875DD" w:rsidRDefault="006C48F3">
      <w:pPr>
        <w:spacing w:line="410" w:lineRule="auto"/>
        <w:ind w:left="6" w:right="0"/>
      </w:pPr>
      <w:r>
        <w:t xml:space="preserve">4.2.11  可行性研究阶段投资估算中的工程建设其他费用应分项估算，可在投资估算汇总表分项编制，也可单独编制工程建设其他费用估算表。 </w:t>
      </w:r>
    </w:p>
    <w:p w:rsidR="00B875DD" w:rsidRDefault="006C48F3">
      <w:pPr>
        <w:spacing w:line="410" w:lineRule="auto"/>
        <w:ind w:left="6" w:right="0"/>
      </w:pPr>
      <w:r>
        <w:t xml:space="preserve">4.2.12  建筑工程费用的估算应结合拟建项目特点和工程计量要求分别套用不同专业工程的投资估算指标或类似工程造价资料进行估算；当无适当估算指标或类似工程造价资料时，可采用估算主体工程量的方法，并参考概算定额等资料进行估算。套用的投资估算指标应包括人工费、材料费、机械费、管理费、利润、规费、税金在内的全费用综合单价，并应考虑指标编制期与报告编制期的人材机要素价格等变化情况。 </w:t>
      </w:r>
    </w:p>
    <w:p w:rsidR="00B875DD" w:rsidRDefault="006C48F3">
      <w:pPr>
        <w:spacing w:line="410" w:lineRule="auto"/>
        <w:ind w:left="6" w:right="0"/>
      </w:pPr>
      <w:r>
        <w:t xml:space="preserve">4.2.13  设备购置费应按国产标准设备、国产非标准设备、进口设备分别进行估算，并应将设备运杂费、备品备件费计入设备费。 </w:t>
      </w:r>
    </w:p>
    <w:p w:rsidR="00B875DD" w:rsidRDefault="006C48F3">
      <w:pPr>
        <w:spacing w:line="405" w:lineRule="auto"/>
        <w:ind w:left="6" w:right="0"/>
      </w:pPr>
      <w:r>
        <w:t xml:space="preserve">4.2.14  安装工程费应按不同安装类型，以设备费为基数或按相应项目的估算指标分别估算。套用的投资估算指标应采用全费用综合单价，并应考虑指标编制期与报告编制期的人材机要素价格的变化情况。 </w:t>
      </w:r>
      <w:r>
        <w:tab/>
      </w:r>
    </w:p>
    <w:p w:rsidR="00B875DD" w:rsidRDefault="006C48F3">
      <w:pPr>
        <w:spacing w:after="0" w:line="410" w:lineRule="auto"/>
        <w:ind w:left="8" w:right="0" w:hanging="10"/>
        <w:jc w:val="both"/>
      </w:pPr>
      <w:r>
        <w:t>4.2.15  工程建设其他费用应包括建设管理费、建设用地费、可行性研究费 、研究试验费 、勘察设计费、环境影响评价费、劳动安全卫生评价费、场地准</w:t>
      </w:r>
      <w:r>
        <w:lastRenderedPageBreak/>
        <w:t xml:space="preserve">备及临时设施费、引进技术和引进设备其他费、工程保险费、联合试运转费、特殊设备安全监督检验费、市政公用设施配套费、专利及专有技术使用费、生产准备及开办费等。 </w:t>
      </w:r>
    </w:p>
    <w:p w:rsidR="00B875DD" w:rsidRDefault="006C48F3">
      <w:pPr>
        <w:spacing w:after="156" w:line="410" w:lineRule="auto"/>
        <w:ind w:left="8" w:right="0" w:hanging="10"/>
        <w:jc w:val="both"/>
      </w:pPr>
      <w:r>
        <w:t xml:space="preserve">4.2.16  工程建设其他费用应结合项目具体情况计列。有合同或协议要求的应按合同或协议计列；无合同或协议要求的应按国家、各行业部门或工程所在地省级政府有关部门的规定估算。 </w:t>
      </w:r>
    </w:p>
    <w:p w:rsidR="00B875DD" w:rsidRDefault="006C48F3">
      <w:pPr>
        <w:spacing w:after="156" w:line="410" w:lineRule="auto"/>
        <w:ind w:left="6" w:right="0"/>
      </w:pPr>
      <w:r>
        <w:t xml:space="preserve">4.2.17  基本预备费应以建设项目的工程费用和工程建设其他费用之和为基数进行估算。 </w:t>
      </w:r>
    </w:p>
    <w:p w:rsidR="00B875DD" w:rsidRDefault="006C48F3">
      <w:pPr>
        <w:spacing w:after="156" w:line="410" w:lineRule="auto"/>
        <w:ind w:left="6" w:right="0"/>
      </w:pPr>
      <w:r>
        <w:t xml:space="preserve">4.2.18  价差预备费宜依据国家或行业主管部门的具体规定估算，价差预备费应考虑建设前期和建设期的涨价因素。 </w:t>
      </w:r>
    </w:p>
    <w:p w:rsidR="00B875DD" w:rsidRDefault="006C48F3">
      <w:pPr>
        <w:spacing w:after="378"/>
        <w:ind w:left="6" w:right="0"/>
      </w:pPr>
      <w:r>
        <w:t xml:space="preserve">4.2.19  固定资产投资方向调节税应根据国家发布的具体规定估算。 </w:t>
      </w:r>
    </w:p>
    <w:p w:rsidR="00B875DD" w:rsidRDefault="006C48F3">
      <w:pPr>
        <w:spacing w:after="156" w:line="410" w:lineRule="auto"/>
        <w:ind w:left="6" w:right="0"/>
      </w:pPr>
      <w:r>
        <w:t xml:space="preserve">4.2.20  建设期贷款利息应根据建设期资金筹措方式和投资计划，以及相应的利率进行估算；并应包括相应的金融机构手续费、管理费等。 </w:t>
      </w:r>
    </w:p>
    <w:p w:rsidR="00B875DD" w:rsidRDefault="006C48F3">
      <w:pPr>
        <w:spacing w:line="410" w:lineRule="auto"/>
        <w:ind w:left="6" w:right="0"/>
      </w:pPr>
      <w:r>
        <w:t xml:space="preserve">4.2.21  项目建议书阶段的流动资金可按分项详细估算法、扩大指标估算法进行估算；可行性研究阶段的流动资金应按分项详细估算法进行估算。 </w:t>
      </w:r>
    </w:p>
    <w:p w:rsidR="00B875DD" w:rsidRDefault="006C48F3">
      <w:pPr>
        <w:spacing w:after="535"/>
        <w:ind w:left="6" w:right="0"/>
      </w:pPr>
      <w:r>
        <w:t xml:space="preserve">4.2.22  生产经营性项目对铺底流动资金有要求的，应按国家或行业的有关规定进行估算。 </w:t>
      </w:r>
      <w:r>
        <w:tab/>
      </w:r>
    </w:p>
    <w:p w:rsidR="00B875DD" w:rsidRDefault="006C48F3">
      <w:pPr>
        <w:pStyle w:val="2"/>
        <w:ind w:left="537" w:right="133" w:hanging="537"/>
      </w:pPr>
      <w:bookmarkStart w:id="11" w:name="_Toc28345"/>
      <w:r>
        <w:t>经济评价</w:t>
      </w:r>
      <w:r>
        <w:rPr>
          <w:rFonts w:ascii="Cambria" w:eastAsia="Cambria" w:hAnsi="Cambria" w:cs="Cambria"/>
          <w:b/>
        </w:rPr>
        <w:t xml:space="preserve"> </w:t>
      </w:r>
      <w:bookmarkEnd w:id="11"/>
    </w:p>
    <w:p w:rsidR="00B875DD" w:rsidRDefault="006C48F3">
      <w:pPr>
        <w:spacing w:line="410" w:lineRule="auto"/>
        <w:ind w:left="6" w:right="0"/>
      </w:pPr>
      <w:r>
        <w:t xml:space="preserve">4.3.1  工程造价咨询企业应依据委托合同的要求，对建设项目进行经济评价。一般性项目的经济评价无特定要求时仅需进行财务评价。 </w:t>
      </w:r>
    </w:p>
    <w:p w:rsidR="00B875DD" w:rsidRDefault="006C48F3">
      <w:pPr>
        <w:spacing w:after="272"/>
        <w:ind w:left="6" w:right="0"/>
      </w:pPr>
      <w:r>
        <w:lastRenderedPageBreak/>
        <w:t xml:space="preserve">4.3.2  财务评价应遵循以下工作程序： </w:t>
      </w:r>
    </w:p>
    <w:p w:rsidR="00B875DD" w:rsidRDefault="006C48F3">
      <w:pPr>
        <w:numPr>
          <w:ilvl w:val="0"/>
          <w:numId w:val="7"/>
        </w:numPr>
        <w:spacing w:after="320"/>
        <w:ind w:right="0" w:hanging="408"/>
      </w:pPr>
      <w:r>
        <w:t xml:space="preserve">收集、整理和计算有关财务评价基础数据与参数等资料； </w:t>
      </w:r>
    </w:p>
    <w:p w:rsidR="00B875DD" w:rsidRDefault="006C48F3">
      <w:pPr>
        <w:numPr>
          <w:ilvl w:val="0"/>
          <w:numId w:val="7"/>
        </w:numPr>
        <w:ind w:right="0" w:hanging="408"/>
      </w:pPr>
      <w:r>
        <w:t xml:space="preserve">估算各期现金流量； </w:t>
      </w:r>
    </w:p>
    <w:p w:rsidR="00B875DD" w:rsidRDefault="006C48F3">
      <w:pPr>
        <w:numPr>
          <w:ilvl w:val="0"/>
          <w:numId w:val="7"/>
        </w:numPr>
        <w:spacing w:after="318"/>
        <w:ind w:right="0" w:hanging="408"/>
      </w:pPr>
      <w:r>
        <w:t xml:space="preserve">编制基本财务报表； </w:t>
      </w:r>
    </w:p>
    <w:p w:rsidR="00B875DD" w:rsidRDefault="006C48F3">
      <w:pPr>
        <w:numPr>
          <w:ilvl w:val="0"/>
          <w:numId w:val="7"/>
        </w:numPr>
        <w:spacing w:after="319"/>
        <w:ind w:right="0" w:hanging="408"/>
      </w:pPr>
      <w:r>
        <w:t xml:space="preserve">财务评价指标的计算与分析； </w:t>
      </w:r>
    </w:p>
    <w:p w:rsidR="00B875DD" w:rsidRDefault="006C48F3">
      <w:pPr>
        <w:numPr>
          <w:ilvl w:val="0"/>
          <w:numId w:val="7"/>
        </w:numPr>
        <w:spacing w:after="319"/>
        <w:ind w:right="0" w:hanging="408"/>
      </w:pPr>
      <w:r>
        <w:t xml:space="preserve">不确定性分析和风险分析； </w:t>
      </w:r>
    </w:p>
    <w:p w:rsidR="00B875DD" w:rsidRDefault="006C48F3">
      <w:pPr>
        <w:numPr>
          <w:ilvl w:val="0"/>
          <w:numId w:val="7"/>
        </w:numPr>
        <w:spacing w:after="271"/>
        <w:ind w:right="0" w:hanging="408"/>
      </w:pPr>
      <w:r>
        <w:t xml:space="preserve">项目财务评价最终结论。 </w:t>
      </w:r>
    </w:p>
    <w:p w:rsidR="00B875DD" w:rsidRDefault="006C48F3">
      <w:pPr>
        <w:spacing w:line="410" w:lineRule="auto"/>
        <w:ind w:left="6" w:right="0"/>
      </w:pPr>
      <w:r>
        <w:t xml:space="preserve">4.3.3  盈利能力分析应通过编制全部现金流量表、自有资金现金流量表和损益表等基本财务报表，计算财务内部收益率、财务净现值、投资回收期、投资收益率等指标来进行定量判断。 </w:t>
      </w:r>
    </w:p>
    <w:p w:rsidR="00B875DD" w:rsidRDefault="006C48F3">
      <w:pPr>
        <w:spacing w:line="410" w:lineRule="auto"/>
        <w:ind w:left="6" w:right="0"/>
      </w:pPr>
      <w:r>
        <w:t xml:space="preserve">4.3.4  清偿能力分析应通过编制资金来源与运用表、资产负债表等基本财务报表，计算借款偿还期、资产负债率、流动比率、速动比率等指标进行定量判断。 </w:t>
      </w:r>
    </w:p>
    <w:p w:rsidR="00B875DD" w:rsidRDefault="006C48F3">
      <w:pPr>
        <w:spacing w:line="410" w:lineRule="auto"/>
        <w:ind w:left="6" w:right="0"/>
      </w:pPr>
      <w:r>
        <w:t xml:space="preserve">4.3.5  不确定性分析应通过盈亏平衡分析、敏感性分析等方法来进行定量判断。 </w:t>
      </w:r>
    </w:p>
    <w:p w:rsidR="00B875DD" w:rsidRDefault="006C48F3">
      <w:pPr>
        <w:spacing w:line="410" w:lineRule="auto"/>
        <w:ind w:left="6" w:right="0"/>
      </w:pPr>
      <w:r>
        <w:t xml:space="preserve">4.3.6  风险分析应通过风险识别、风险估计、风险评价与风险应对等环节，进行定性与定量分析。 </w:t>
      </w:r>
    </w:p>
    <w:p w:rsidR="00B875DD" w:rsidRDefault="006C48F3">
      <w:pPr>
        <w:spacing w:line="410" w:lineRule="auto"/>
        <w:ind w:left="6" w:right="0"/>
      </w:pPr>
      <w:r>
        <w:t xml:space="preserve">4.3.7  工程造价咨询企业应依据本规范4.3.3条～第4.3.6条的分析结果和评价指标，最终形成财务评价是否可行的结论。 </w:t>
      </w:r>
    </w:p>
    <w:p w:rsidR="00B875DD" w:rsidRDefault="00B875DD">
      <w:pPr>
        <w:sectPr w:rsidR="00B875DD">
          <w:headerReference w:type="even" r:id="rId16"/>
          <w:headerReference w:type="default" r:id="rId17"/>
          <w:footerReference w:type="even" r:id="rId18"/>
          <w:footerReference w:type="default" r:id="rId19"/>
          <w:headerReference w:type="first" r:id="rId20"/>
          <w:footerReference w:type="first" r:id="rId21"/>
          <w:pgSz w:w="11906" w:h="16838"/>
          <w:pgMar w:top="1751" w:right="900" w:bottom="1496" w:left="1609" w:header="852" w:footer="982" w:gutter="0"/>
          <w:cols w:space="720"/>
        </w:sectPr>
      </w:pPr>
    </w:p>
    <w:p w:rsidR="00B875DD" w:rsidRDefault="006C48F3">
      <w:pPr>
        <w:pStyle w:val="1"/>
        <w:ind w:left="442" w:right="143" w:hanging="442"/>
      </w:pPr>
      <w:bookmarkStart w:id="12" w:name="_Toc28346"/>
      <w:r>
        <w:lastRenderedPageBreak/>
        <w:t>设计阶段</w:t>
      </w:r>
      <w:r>
        <w:rPr>
          <w:rFonts w:ascii="Times New Roman" w:eastAsia="Times New Roman" w:hAnsi="Times New Roman" w:cs="Times New Roman"/>
          <w:b/>
        </w:rPr>
        <w:t xml:space="preserve"> </w:t>
      </w:r>
      <w:bookmarkEnd w:id="12"/>
    </w:p>
    <w:p w:rsidR="00B875DD" w:rsidRDefault="006C48F3">
      <w:pPr>
        <w:pStyle w:val="2"/>
        <w:ind w:left="535" w:right="140" w:hanging="535"/>
      </w:pPr>
      <w:bookmarkStart w:id="13" w:name="_Toc28347"/>
      <w:r>
        <w:t>一般规定</w:t>
      </w:r>
      <w:r>
        <w:rPr>
          <w:rFonts w:ascii="Cambria" w:eastAsia="Cambria" w:hAnsi="Cambria" w:cs="Cambria"/>
          <w:b/>
        </w:rPr>
        <w:t xml:space="preserve"> </w:t>
      </w:r>
      <w:bookmarkEnd w:id="13"/>
    </w:p>
    <w:p w:rsidR="00B875DD" w:rsidRDefault="006C48F3">
      <w:pPr>
        <w:spacing w:after="222"/>
        <w:ind w:left="6" w:right="0"/>
      </w:pPr>
      <w:r>
        <w:t xml:space="preserve">5.1.1工程造价咨询企业在设计阶段，可接受委托承担下列工作： </w:t>
      </w:r>
    </w:p>
    <w:p w:rsidR="00B875DD" w:rsidRDefault="006C48F3">
      <w:pPr>
        <w:numPr>
          <w:ilvl w:val="0"/>
          <w:numId w:val="8"/>
        </w:numPr>
        <w:spacing w:after="222"/>
        <w:ind w:right="0" w:hanging="420"/>
      </w:pPr>
      <w:r>
        <w:t xml:space="preserve">设计概算编制、审核与调整； </w:t>
      </w:r>
    </w:p>
    <w:p w:rsidR="00B875DD" w:rsidRDefault="006C48F3">
      <w:pPr>
        <w:numPr>
          <w:ilvl w:val="0"/>
          <w:numId w:val="8"/>
        </w:numPr>
        <w:spacing w:after="222"/>
        <w:ind w:right="0" w:hanging="420"/>
      </w:pPr>
      <w:r>
        <w:t xml:space="preserve">施工图预算编制与审核。 </w:t>
      </w:r>
    </w:p>
    <w:p w:rsidR="00B875DD" w:rsidRDefault="006C48F3">
      <w:pPr>
        <w:spacing w:line="410" w:lineRule="auto"/>
        <w:ind w:left="6" w:right="0"/>
      </w:pPr>
      <w:r>
        <w:t xml:space="preserve">5.1.2 设计概算应控制在批准的投资概算范围内，施工图预算应控制在已批准的设计概算范围内。当遇有超概算情况时，应编制调整概算，提交分析报告，交委托人报原概算审批部门核准。 </w:t>
      </w:r>
    </w:p>
    <w:p w:rsidR="00B875DD" w:rsidRDefault="006C48F3">
      <w:pPr>
        <w:spacing w:line="410" w:lineRule="auto"/>
        <w:ind w:left="6" w:right="0"/>
      </w:pPr>
      <w:r>
        <w:t xml:space="preserve">5.1.3  设计概算和施工图预算编制应依据相应工程造价管理机构发布的工程计价依据，并根据工程造价咨询企业积累的有关资料，以及编制同期的人工、材料、设备、机械台班市场价格，合理确定建设项目总投资。 </w:t>
      </w:r>
    </w:p>
    <w:p w:rsidR="00B875DD" w:rsidRDefault="006C48F3">
      <w:pPr>
        <w:spacing w:after="251"/>
        <w:ind w:left="6" w:right="0"/>
      </w:pPr>
      <w:r>
        <w:t>5.1.4 设计概算和施工图预算审核应依据工程造价管理机构发布的工</w:t>
      </w:r>
    </w:p>
    <w:p w:rsidR="00B875DD" w:rsidRDefault="006C48F3">
      <w:pPr>
        <w:spacing w:line="410" w:lineRule="auto"/>
        <w:ind w:left="6" w:right="0"/>
      </w:pPr>
      <w:r>
        <w:t xml:space="preserve">程计价依据及有关资料，对其编制依据、编制方法、编制内容及各项费用进行审核。 </w:t>
      </w:r>
    </w:p>
    <w:p w:rsidR="00B875DD" w:rsidRDefault="006C48F3">
      <w:pPr>
        <w:spacing w:line="410" w:lineRule="auto"/>
        <w:ind w:left="6" w:right="0"/>
      </w:pPr>
      <w:r>
        <w:t>5.1.5 设计概算和施工图预算的审核可采用全面审核法、标准审核法、分组计算审核法、对比审核法、重点审核法等。应重点对工程量的计算，人、材、机要素价格的确定，定额子目的套用，管理费、利润、规费税金等计取的正确性、全面性等进行审核。</w:t>
      </w:r>
    </w:p>
    <w:p w:rsidR="00B875DD" w:rsidRDefault="006C48F3">
      <w:pPr>
        <w:spacing w:after="495" w:line="259" w:lineRule="auto"/>
        <w:ind w:left="4" w:right="0" w:firstLine="0"/>
      </w:pPr>
      <w:r>
        <w:t xml:space="preserve"> </w:t>
      </w:r>
    </w:p>
    <w:p w:rsidR="00B875DD" w:rsidRDefault="006C48F3">
      <w:pPr>
        <w:pStyle w:val="2"/>
        <w:ind w:left="465" w:right="140" w:hanging="465"/>
      </w:pPr>
      <w:bookmarkStart w:id="14" w:name="_Toc28348"/>
      <w:r>
        <w:lastRenderedPageBreak/>
        <w:t>设计概算的编制</w:t>
      </w:r>
      <w:r>
        <w:rPr>
          <w:rFonts w:ascii="Cambria" w:eastAsia="Cambria" w:hAnsi="Cambria" w:cs="Cambria"/>
          <w:b/>
        </w:rPr>
        <w:t xml:space="preserve"> </w:t>
      </w:r>
      <w:bookmarkEnd w:id="14"/>
    </w:p>
    <w:p w:rsidR="00B875DD" w:rsidRDefault="006C48F3">
      <w:pPr>
        <w:spacing w:line="410" w:lineRule="auto"/>
        <w:ind w:left="6" w:right="0"/>
      </w:pPr>
      <w:r>
        <w:t xml:space="preserve">5.2.1 设计概算按委托内容可分为建设项目的设计概算、单项工程设计概算、单位工程设计概算及调整概算。 </w:t>
      </w:r>
    </w:p>
    <w:p w:rsidR="00B875DD" w:rsidRDefault="006C48F3">
      <w:pPr>
        <w:spacing w:line="410" w:lineRule="auto"/>
        <w:ind w:left="6" w:right="0"/>
      </w:pPr>
      <w:r>
        <w:t xml:space="preserve">5.2.2 设计概算的建设项目总投资应由建设投资、建设期利息、固定资产投资方向调节税及流动资金组成。建设投资应包括工程费用、工程建设其他费用和预备费。工程费用应由建筑工程费、设备购置费、安装工程费组成。 </w:t>
      </w:r>
    </w:p>
    <w:p w:rsidR="00B875DD" w:rsidRDefault="006C48F3">
      <w:pPr>
        <w:ind w:left="6" w:right="0"/>
      </w:pPr>
      <w:r>
        <w:t xml:space="preserve">5.3.3 设计概算的编制依据应包括： </w:t>
      </w:r>
    </w:p>
    <w:p w:rsidR="00B875DD" w:rsidRDefault="006C48F3">
      <w:pPr>
        <w:numPr>
          <w:ilvl w:val="0"/>
          <w:numId w:val="9"/>
        </w:numPr>
        <w:spacing w:after="320"/>
        <w:ind w:right="0" w:hanging="427"/>
      </w:pPr>
      <w:r>
        <w:t xml:space="preserve">国家、行业和地方有关规定； </w:t>
      </w:r>
    </w:p>
    <w:p w:rsidR="00B875DD" w:rsidRDefault="006C48F3">
      <w:pPr>
        <w:numPr>
          <w:ilvl w:val="0"/>
          <w:numId w:val="9"/>
        </w:numPr>
        <w:spacing w:after="320"/>
        <w:ind w:right="0" w:hanging="427"/>
      </w:pPr>
      <w:r>
        <w:t xml:space="preserve">相应工程造价管理机构发布的概算定额（或指标）； </w:t>
      </w:r>
    </w:p>
    <w:p w:rsidR="00B875DD" w:rsidRDefault="006C48F3">
      <w:pPr>
        <w:numPr>
          <w:ilvl w:val="0"/>
          <w:numId w:val="9"/>
        </w:numPr>
        <w:spacing w:after="319"/>
        <w:ind w:right="0" w:hanging="427"/>
      </w:pPr>
      <w:r>
        <w:t xml:space="preserve">工程勘察与设计文件； </w:t>
      </w:r>
    </w:p>
    <w:p w:rsidR="00B875DD" w:rsidRDefault="006C48F3">
      <w:pPr>
        <w:numPr>
          <w:ilvl w:val="0"/>
          <w:numId w:val="9"/>
        </w:numPr>
        <w:spacing w:after="320"/>
        <w:ind w:right="0" w:hanging="427"/>
      </w:pPr>
      <w:r>
        <w:t xml:space="preserve">拟定或常规的施工组织设计和施工方案；  </w:t>
      </w:r>
    </w:p>
    <w:p w:rsidR="00B875DD" w:rsidRDefault="006C48F3">
      <w:pPr>
        <w:numPr>
          <w:ilvl w:val="0"/>
          <w:numId w:val="9"/>
        </w:numPr>
        <w:spacing w:after="320"/>
        <w:ind w:right="0" w:hanging="427"/>
      </w:pPr>
      <w:r>
        <w:t xml:space="preserve">建设项目资金筹措方案；  </w:t>
      </w:r>
    </w:p>
    <w:p w:rsidR="00B875DD" w:rsidRDefault="006C48F3">
      <w:pPr>
        <w:numPr>
          <w:ilvl w:val="0"/>
          <w:numId w:val="9"/>
        </w:numPr>
        <w:spacing w:after="273"/>
        <w:ind w:right="0" w:hanging="427"/>
      </w:pPr>
      <w:r>
        <w:t>工程所在地编制同期的人工、材料、机械台班市场价格，以及设</w:t>
      </w:r>
    </w:p>
    <w:p w:rsidR="00B875DD" w:rsidRDefault="006C48F3">
      <w:pPr>
        <w:spacing w:after="272"/>
        <w:ind w:left="791" w:right="0"/>
      </w:pPr>
      <w:r>
        <w:t xml:space="preserve">备供应方式及供应价格； </w:t>
      </w:r>
    </w:p>
    <w:p w:rsidR="00B875DD" w:rsidRDefault="006C48F3">
      <w:pPr>
        <w:numPr>
          <w:ilvl w:val="0"/>
          <w:numId w:val="9"/>
        </w:numPr>
        <w:spacing w:after="273"/>
        <w:ind w:right="0" w:hanging="427"/>
      </w:pPr>
      <w:r>
        <w:t>建设项目的技术复杂程度，新技术、新材料、新工艺以及专利使</w:t>
      </w:r>
    </w:p>
    <w:p w:rsidR="00B875DD" w:rsidRDefault="006C48F3">
      <w:pPr>
        <w:spacing w:after="271"/>
        <w:ind w:left="791" w:right="0"/>
      </w:pPr>
      <w:r>
        <w:t xml:space="preserve">用情况等；  </w:t>
      </w:r>
    </w:p>
    <w:p w:rsidR="00B875DD" w:rsidRDefault="006C48F3">
      <w:pPr>
        <w:numPr>
          <w:ilvl w:val="0"/>
          <w:numId w:val="9"/>
        </w:numPr>
        <w:spacing w:after="322"/>
        <w:ind w:right="0" w:hanging="427"/>
      </w:pPr>
      <w:r>
        <w:t xml:space="preserve">建设项目批准的相关文件、合同、协议等； </w:t>
      </w:r>
    </w:p>
    <w:p w:rsidR="00B875DD" w:rsidRDefault="006C48F3">
      <w:pPr>
        <w:numPr>
          <w:ilvl w:val="0"/>
          <w:numId w:val="9"/>
        </w:numPr>
        <w:spacing w:after="273"/>
        <w:ind w:right="0" w:hanging="427"/>
      </w:pPr>
      <w:r>
        <w:lastRenderedPageBreak/>
        <w:t>政府有关部门、金融机构等发布的价格指数、利率、汇率、税率，</w:t>
      </w:r>
    </w:p>
    <w:p w:rsidR="00B875DD" w:rsidRDefault="006C48F3">
      <w:pPr>
        <w:ind w:left="791" w:right="0"/>
      </w:pPr>
      <w:r>
        <w:t xml:space="preserve">以及工程建设其它费用等； </w:t>
      </w:r>
    </w:p>
    <w:p w:rsidR="00B875DD" w:rsidRDefault="006C48F3">
      <w:pPr>
        <w:numPr>
          <w:ilvl w:val="0"/>
          <w:numId w:val="9"/>
        </w:numPr>
        <w:spacing w:after="271"/>
        <w:ind w:right="0" w:hanging="427"/>
      </w:pPr>
      <w:r>
        <w:t xml:space="preserve">委托单位提供的其它技术经济资料。 </w:t>
      </w:r>
    </w:p>
    <w:p w:rsidR="00B875DD" w:rsidRDefault="006C48F3">
      <w:pPr>
        <w:spacing w:after="222"/>
        <w:ind w:left="6" w:right="0"/>
      </w:pPr>
      <w:r>
        <w:t>5.2.4 设计概算文件应包括封面、签署页、目录、编制说明、总概算</w:t>
      </w:r>
    </w:p>
    <w:p w:rsidR="00B875DD" w:rsidRDefault="006C48F3">
      <w:pPr>
        <w:spacing w:line="410" w:lineRule="auto"/>
        <w:ind w:left="6" w:right="0"/>
      </w:pPr>
      <w:r>
        <w:t xml:space="preserve">表、其它费用表、综合概算表、单位工程概算表等，设计概算成果文件可按本规范附录B编制。 </w:t>
      </w:r>
    </w:p>
    <w:p w:rsidR="00B875DD" w:rsidRDefault="006C48F3">
      <w:pPr>
        <w:spacing w:line="410" w:lineRule="auto"/>
        <w:ind w:left="6" w:right="0"/>
      </w:pPr>
      <w:r>
        <w:t xml:space="preserve">5.2.5 当只有一个单项工程的建设项目时，应采用二级形式编制设计概算；当包含两个及以上单项工程的建设项目时，应采用三级形式编制。 </w:t>
      </w:r>
    </w:p>
    <w:p w:rsidR="00B875DD" w:rsidRDefault="006C48F3">
      <w:pPr>
        <w:spacing w:line="410" w:lineRule="auto"/>
        <w:ind w:left="6" w:right="0"/>
      </w:pPr>
      <w:r>
        <w:t xml:space="preserve">5.2.6设计概算应按逐级汇总进行编制，总概算应以综合概算为基础进行编制，综合概算应以建筑工程单位工程概算和设备及安装工程单位工程概算为基础进行编制。 </w:t>
      </w:r>
    </w:p>
    <w:p w:rsidR="00B875DD" w:rsidRDefault="006C48F3">
      <w:pPr>
        <w:spacing w:line="410" w:lineRule="auto"/>
        <w:ind w:left="6" w:right="0"/>
      </w:pPr>
      <w:r>
        <w:t xml:space="preserve">5.2.7 总概算表纵向应分解到单位工程费，并应包括工程建设其他费用、预备费、建设期利息等，若为生产经营性项目还应包括流动资金，对铺底流动资金有要求的，应按国家或行业的有关规定进行估算。总概算表横向应分解到建筑工程费、设备购置费、安装工程费和其他费用。 </w:t>
      </w:r>
    </w:p>
    <w:p w:rsidR="00B875DD" w:rsidRDefault="006C48F3">
      <w:pPr>
        <w:spacing w:line="410" w:lineRule="auto"/>
        <w:ind w:left="6" w:right="0"/>
      </w:pPr>
      <w:r>
        <w:t xml:space="preserve">5.2.8 综合概算表纵向应分解到单项工程，并计算主要单位工程费，横向应分解到建筑工程费、设备购置费及安装工程费。 </w:t>
      </w:r>
    </w:p>
    <w:p w:rsidR="00B875DD" w:rsidRDefault="006C48F3">
      <w:pPr>
        <w:spacing w:line="410" w:lineRule="auto"/>
        <w:ind w:left="6" w:right="0"/>
      </w:pPr>
      <w:r>
        <w:t xml:space="preserve">5.2.9 建筑工程单位工程概算费用由分部分项工程费和措施项目费组成。 </w:t>
      </w:r>
    </w:p>
    <w:p w:rsidR="00B875DD" w:rsidRDefault="006C48F3">
      <w:pPr>
        <w:spacing w:after="222"/>
        <w:ind w:left="6" w:right="0"/>
      </w:pPr>
      <w:r>
        <w:lastRenderedPageBreak/>
        <w:t>5.2.10 建筑工程概算的分部分项工程费应由各子目的工程量乘以各</w:t>
      </w:r>
    </w:p>
    <w:p w:rsidR="00B875DD" w:rsidRDefault="006C48F3">
      <w:pPr>
        <w:spacing w:after="0" w:line="410" w:lineRule="auto"/>
        <w:ind w:left="8" w:right="0" w:hanging="10"/>
        <w:jc w:val="both"/>
      </w:pPr>
      <w:r>
        <w:t xml:space="preserve">子目的综合单价汇总而成。各子目的工程量应按概算定额或概算指标的分部分项工程项目划分及其工程量计算规则计算。各子目的综合单价应包括人工费、材料费、机械费、管理费、利润、规费和税金。 </w:t>
      </w:r>
    </w:p>
    <w:p w:rsidR="00B875DD" w:rsidRDefault="006C48F3">
      <w:pPr>
        <w:spacing w:after="222"/>
        <w:ind w:left="6" w:right="0"/>
      </w:pPr>
      <w:r>
        <w:t xml:space="preserve">5.2.11 各子目综合单价的计算可采用概算定额法和概算指标法。 </w:t>
      </w:r>
    </w:p>
    <w:p w:rsidR="00B875DD" w:rsidRDefault="006C48F3">
      <w:pPr>
        <w:numPr>
          <w:ilvl w:val="0"/>
          <w:numId w:val="10"/>
        </w:numPr>
        <w:spacing w:line="410" w:lineRule="auto"/>
        <w:ind w:right="64" w:firstLine="566"/>
      </w:pPr>
      <w:r>
        <w:t xml:space="preserve">概算定额法。采用概算定额法时人工费、材料费、机械费应依据相应的概算定额子目的人材机要素消耗量，以及报告编制期人材机的市场价格等因素确定；管理费、利润、规费、税金等应依据概算定额配套的费用定额或取费标准，并依据报告编制期拟建项目的实际情况、市场水平等因素确定。采用概算定额法编制单位工程概算时宜编制综合单价分析表。 </w:t>
      </w:r>
    </w:p>
    <w:p w:rsidR="00B875DD" w:rsidRDefault="006C48F3">
      <w:pPr>
        <w:numPr>
          <w:ilvl w:val="0"/>
          <w:numId w:val="10"/>
        </w:numPr>
        <w:spacing w:after="229" w:line="259" w:lineRule="auto"/>
        <w:ind w:right="64" w:firstLine="566"/>
      </w:pPr>
      <w:r>
        <w:t>概算指标法。 采用概算指标法时应结合拟建工程项目特点，参</w:t>
      </w:r>
    </w:p>
    <w:p w:rsidR="00B875DD" w:rsidRDefault="006C48F3">
      <w:pPr>
        <w:spacing w:line="410" w:lineRule="auto"/>
        <w:ind w:left="6" w:right="0"/>
      </w:pPr>
      <w:r>
        <w:t xml:space="preserve">照类似工程的概算指标，并应考虑指标编制期与报告编制期的人、材、机要素价格等变化情况确定该字母的全费用综合单价。 </w:t>
      </w:r>
    </w:p>
    <w:p w:rsidR="00B875DD" w:rsidRDefault="006C48F3">
      <w:pPr>
        <w:spacing w:after="222"/>
        <w:ind w:left="6" w:right="0"/>
      </w:pPr>
      <w:r>
        <w:t xml:space="preserve">5.2.12 建筑工程单位工程概算的措施项目费应按下列规定计算： </w:t>
      </w:r>
    </w:p>
    <w:p w:rsidR="00B875DD" w:rsidRDefault="006C48F3">
      <w:pPr>
        <w:numPr>
          <w:ilvl w:val="0"/>
          <w:numId w:val="11"/>
        </w:numPr>
        <w:spacing w:after="49" w:line="410" w:lineRule="auto"/>
        <w:ind w:right="0" w:firstLine="566"/>
      </w:pPr>
      <w:r>
        <w:t xml:space="preserve">可以计量的措施项目费与分部分项工程费的计算方法相同，其费用应按本规范5.2.10条、第5.2.11条的规定计算。 </w:t>
      </w:r>
    </w:p>
    <w:p w:rsidR="00B875DD" w:rsidRDefault="006C48F3">
      <w:pPr>
        <w:numPr>
          <w:ilvl w:val="0"/>
          <w:numId w:val="11"/>
        </w:numPr>
        <w:spacing w:line="443" w:lineRule="auto"/>
        <w:ind w:right="0" w:firstLine="566"/>
      </w:pPr>
      <w:r>
        <w:t xml:space="preserve">综合计取的措施项目费应以该单位工程的分部分项工程费和可以计量的措施项目费之和为基数乘以相应费率计算。 </w:t>
      </w:r>
    </w:p>
    <w:p w:rsidR="00B875DD" w:rsidRDefault="006C48F3">
      <w:pPr>
        <w:spacing w:line="410" w:lineRule="auto"/>
        <w:ind w:left="6" w:right="0"/>
      </w:pPr>
      <w:r>
        <w:t xml:space="preserve">5.2.13 设备及安装工程单位工程费用由设备费、安装工程费组成，其概算的编制应符合下列规定： </w:t>
      </w:r>
    </w:p>
    <w:p w:rsidR="00B875DD" w:rsidRDefault="006C48F3">
      <w:pPr>
        <w:numPr>
          <w:ilvl w:val="0"/>
          <w:numId w:val="12"/>
        </w:numPr>
        <w:spacing w:after="222"/>
        <w:ind w:right="0" w:hanging="281"/>
      </w:pPr>
      <w:r>
        <w:lastRenderedPageBreak/>
        <w:t>设备购置费以及未纳入安装工程费的主要材料费，有订货合同</w:t>
      </w:r>
    </w:p>
    <w:p w:rsidR="00B875DD" w:rsidRDefault="006C48F3">
      <w:pPr>
        <w:spacing w:after="0" w:line="410" w:lineRule="auto"/>
        <w:ind w:left="8" w:right="0" w:hanging="10"/>
        <w:jc w:val="both"/>
      </w:pPr>
      <w:r>
        <w:t xml:space="preserve">的，应按订货合同确定，计算至抵达建设项目工地的入库价；无订货合同的应按类似工程的工程量，结合设备市场价格的实际情况，区分国产标准设备、国产非标准设备和进口设备分类计算，并应考虑设备运杂费和备品备件费。 </w:t>
      </w:r>
    </w:p>
    <w:p w:rsidR="00B875DD" w:rsidRDefault="006C48F3">
      <w:pPr>
        <w:numPr>
          <w:ilvl w:val="0"/>
          <w:numId w:val="12"/>
        </w:numPr>
        <w:spacing w:after="222"/>
        <w:ind w:right="0" w:hanging="281"/>
      </w:pPr>
      <w:r>
        <w:t>安装工程费应由分部分项工程费和措施项目费组成。安装工程费</w:t>
      </w:r>
    </w:p>
    <w:p w:rsidR="00B875DD" w:rsidRDefault="006C48F3">
      <w:pPr>
        <w:spacing w:line="410" w:lineRule="auto"/>
        <w:ind w:left="6" w:right="0"/>
      </w:pPr>
      <w:r>
        <w:t>的分部分项工程费应由各子目的工程量乘以各子目的综合单价汇总而成。各子目的工程量应按概算定额或概算指标的分部分项工程项目划分及其工程量计算规则计算，各子目的综合单价包括人工费、材料费、机械费、管理费、利润、规费和税金。安装工程各子目综合单价的计算可采用概算定额法和概算指标法，具体计算方法可参照本规范</w:t>
      </w:r>
    </w:p>
    <w:p w:rsidR="00B875DD" w:rsidRDefault="006C48F3">
      <w:pPr>
        <w:spacing w:line="410" w:lineRule="auto"/>
        <w:ind w:left="6" w:right="0"/>
      </w:pPr>
      <w:r>
        <w:t xml:space="preserve">5.2.11条的规定。安装工程的措施项目费可参照本规范5.2.12条的规定计算。 </w:t>
      </w:r>
    </w:p>
    <w:p w:rsidR="00B875DD" w:rsidRDefault="006C48F3">
      <w:pPr>
        <w:spacing w:line="410" w:lineRule="auto"/>
        <w:ind w:left="6" w:right="0"/>
      </w:pPr>
      <w:r>
        <w:t xml:space="preserve">5.2.14 工程建设其他费用、预备费、建设期利息、流动资金等，有合同约定的应按合同约定计算；无合同约定的应分别按本规范第4.2.15 条～4.2.22条的规定计算。 </w:t>
      </w:r>
    </w:p>
    <w:p w:rsidR="00B875DD" w:rsidRDefault="006C48F3">
      <w:pPr>
        <w:spacing w:after="266" w:line="410" w:lineRule="auto"/>
        <w:ind w:left="6" w:right="0"/>
      </w:pPr>
      <w:r>
        <w:t xml:space="preserve">5.2.15 概算编制人员应根据项目特点和工程的具体情况，计算并分析整个建设项目的费用构成，以及各单项工程和主要单位工程的主要技术经济指标。 </w:t>
      </w:r>
    </w:p>
    <w:p w:rsidR="00B875DD" w:rsidRDefault="006C48F3">
      <w:pPr>
        <w:pStyle w:val="2"/>
        <w:ind w:left="535" w:right="140" w:hanging="535"/>
      </w:pPr>
      <w:bookmarkStart w:id="15" w:name="_Toc28349"/>
      <w:r>
        <w:lastRenderedPageBreak/>
        <w:t>施工图总预算的编制</w:t>
      </w:r>
      <w:r>
        <w:rPr>
          <w:rFonts w:ascii="Cambria" w:eastAsia="Cambria" w:hAnsi="Cambria" w:cs="Cambria"/>
          <w:b/>
        </w:rPr>
        <w:t xml:space="preserve"> </w:t>
      </w:r>
      <w:bookmarkEnd w:id="15"/>
    </w:p>
    <w:p w:rsidR="00B875DD" w:rsidRDefault="006C48F3">
      <w:pPr>
        <w:spacing w:line="429" w:lineRule="auto"/>
        <w:ind w:left="6" w:right="0"/>
      </w:pPr>
      <w:r>
        <w:t xml:space="preserve">5.3.1 施工图预算按委托内容可分为建筑工程施工图预算安装工程施工图预算。 </w:t>
      </w:r>
    </w:p>
    <w:p w:rsidR="00B875DD" w:rsidRDefault="006C48F3">
      <w:pPr>
        <w:ind w:left="6" w:right="0"/>
      </w:pPr>
      <w:r>
        <w:t xml:space="preserve">5.3.2 施工图预算的编制依据应包括下列内容： </w:t>
      </w:r>
    </w:p>
    <w:p w:rsidR="00B875DD" w:rsidRDefault="006C48F3">
      <w:pPr>
        <w:numPr>
          <w:ilvl w:val="0"/>
          <w:numId w:val="13"/>
        </w:numPr>
        <w:spacing w:after="320"/>
        <w:ind w:right="0" w:hanging="281"/>
      </w:pPr>
      <w:r>
        <w:t xml:space="preserve">国家、行业和地方有关规定； </w:t>
      </w:r>
    </w:p>
    <w:p w:rsidR="00B875DD" w:rsidRDefault="006C48F3">
      <w:pPr>
        <w:numPr>
          <w:ilvl w:val="0"/>
          <w:numId w:val="13"/>
        </w:numPr>
        <w:spacing w:after="321"/>
        <w:ind w:right="0" w:hanging="281"/>
      </w:pPr>
      <w:r>
        <w:t xml:space="preserve">相应工程造价管理机构发布的预算定额； </w:t>
      </w:r>
    </w:p>
    <w:p w:rsidR="00B875DD" w:rsidRDefault="006C48F3">
      <w:pPr>
        <w:numPr>
          <w:ilvl w:val="0"/>
          <w:numId w:val="13"/>
        </w:numPr>
        <w:spacing w:after="320"/>
        <w:ind w:right="0" w:hanging="281"/>
      </w:pPr>
      <w:r>
        <w:t xml:space="preserve">施工图设计文件及相关标准图集和规范； </w:t>
      </w:r>
    </w:p>
    <w:p w:rsidR="00B875DD" w:rsidRDefault="006C48F3">
      <w:pPr>
        <w:numPr>
          <w:ilvl w:val="0"/>
          <w:numId w:val="13"/>
        </w:numPr>
        <w:spacing w:after="321"/>
        <w:ind w:right="0" w:hanging="281"/>
      </w:pPr>
      <w:r>
        <w:t xml:space="preserve">项目相关文件、合同、协议等； </w:t>
      </w:r>
    </w:p>
    <w:p w:rsidR="00B875DD" w:rsidRDefault="006C48F3">
      <w:pPr>
        <w:numPr>
          <w:ilvl w:val="0"/>
          <w:numId w:val="13"/>
        </w:numPr>
        <w:spacing w:after="320"/>
        <w:ind w:right="0" w:hanging="281"/>
      </w:pPr>
      <w:r>
        <w:t xml:space="preserve">工程所在地的人工、材料、设备、施工机械市场价格； </w:t>
      </w:r>
    </w:p>
    <w:p w:rsidR="00B875DD" w:rsidRDefault="006C48F3">
      <w:pPr>
        <w:numPr>
          <w:ilvl w:val="0"/>
          <w:numId w:val="13"/>
        </w:numPr>
        <w:spacing w:after="320"/>
        <w:ind w:right="0" w:hanging="281"/>
      </w:pPr>
      <w:r>
        <w:t xml:space="preserve">施工组织设计和施工方案； </w:t>
      </w:r>
    </w:p>
    <w:p w:rsidR="00B875DD" w:rsidRDefault="006C48F3">
      <w:pPr>
        <w:numPr>
          <w:ilvl w:val="0"/>
          <w:numId w:val="13"/>
        </w:numPr>
        <w:spacing w:after="319"/>
        <w:ind w:right="0" w:hanging="281"/>
      </w:pPr>
      <w:r>
        <w:t xml:space="preserve">项目的管理模式、发包模式及施工条件； </w:t>
      </w:r>
    </w:p>
    <w:p w:rsidR="00B875DD" w:rsidRDefault="006C48F3">
      <w:pPr>
        <w:numPr>
          <w:ilvl w:val="0"/>
          <w:numId w:val="13"/>
        </w:numPr>
        <w:spacing w:after="270"/>
        <w:ind w:right="0" w:hanging="281"/>
      </w:pPr>
      <w:r>
        <w:t xml:space="preserve">其它应提供的资料。 </w:t>
      </w:r>
    </w:p>
    <w:p w:rsidR="00B875DD" w:rsidRDefault="006C48F3">
      <w:pPr>
        <w:spacing w:after="222"/>
        <w:ind w:left="6" w:right="0"/>
      </w:pPr>
      <w:r>
        <w:t>5.3.3 单位工程施工图预算成果文件应包括施工图预算封面、签署页</w:t>
      </w:r>
    </w:p>
    <w:p w:rsidR="00B875DD" w:rsidRDefault="006C48F3">
      <w:pPr>
        <w:spacing w:line="410" w:lineRule="auto"/>
        <w:ind w:left="6" w:right="0"/>
      </w:pPr>
      <w:r>
        <w:t xml:space="preserve">及目录、编制说明、单位工程施工图预算汇总表、单位工程施工图预算表、补充单位估价表等。单位工程施工图预算成果文件可按本规范附录C编制。 </w:t>
      </w:r>
    </w:p>
    <w:p w:rsidR="00B875DD" w:rsidRDefault="006C48F3">
      <w:pPr>
        <w:spacing w:line="410" w:lineRule="auto"/>
        <w:ind w:left="6" w:right="0"/>
      </w:pPr>
      <w:r>
        <w:t xml:space="preserve">5.3.4 编制说明应包括工程概况、主要技术经济指标、编制依据、建筑及安装工程费用计算方法及费用计取的说明及其他有关说明等。 </w:t>
      </w:r>
    </w:p>
    <w:p w:rsidR="00B875DD" w:rsidRDefault="006C48F3">
      <w:pPr>
        <w:spacing w:after="222"/>
        <w:ind w:left="6" w:right="0"/>
      </w:pPr>
      <w:r>
        <w:t>5.3.5 施工图预算汇总表，纵向应按土建和安装两类单位工程进行汇</w:t>
      </w:r>
    </w:p>
    <w:p w:rsidR="00B875DD" w:rsidRDefault="006C48F3">
      <w:pPr>
        <w:spacing w:line="410" w:lineRule="auto"/>
        <w:ind w:left="6" w:right="0"/>
      </w:pPr>
      <w:r>
        <w:lastRenderedPageBreak/>
        <w:t xml:space="preserve">总，也可按施工单位所承担的各单位工程项目进行汇总，还可按建设项目的各单项工程构成进行汇总。 </w:t>
      </w:r>
    </w:p>
    <w:p w:rsidR="00B875DD" w:rsidRDefault="006C48F3">
      <w:pPr>
        <w:spacing w:after="0" w:line="410" w:lineRule="auto"/>
        <w:ind w:left="8" w:right="123" w:hanging="10"/>
        <w:jc w:val="both"/>
      </w:pPr>
      <w:r>
        <w:t xml:space="preserve">5.3.6 编制单位工程施工图预算纵向应按照预算定额的定额子目划分，细分到预算定额子目层级。建筑工程施工图预算表横向可分解为序号、定额编号、工程项目（或定额名称）、单位、数量、综合单价、合价等项目；安装工程施工图预算表横向可分解为序号、定额编号、工程项目（或定额名称）、单位、数量、综合单价、合价、其中主材费等项目。 </w:t>
      </w:r>
    </w:p>
    <w:p w:rsidR="00B875DD" w:rsidRDefault="006C48F3">
      <w:pPr>
        <w:spacing w:line="410" w:lineRule="auto"/>
        <w:ind w:left="6" w:right="0"/>
      </w:pPr>
      <w:r>
        <w:t xml:space="preserve">5.3.7 建筑工程施工图预算费用由分部分项工程费和措施项目费组成。 </w:t>
      </w:r>
    </w:p>
    <w:p w:rsidR="00B875DD" w:rsidRDefault="006C48F3">
      <w:pPr>
        <w:spacing w:line="410" w:lineRule="auto"/>
        <w:ind w:left="6" w:right="0"/>
      </w:pPr>
      <w:r>
        <w:t xml:space="preserve">5.3.8 建筑工程预算的分部分项工程费应由各子目的工程量乘以各子目的综合单价汇总而成。各子目的工程量应按预算定额的项目划分及其工程量计算规则计算。各子目的综合单价应包括人工费、材料费、机械费、管理费、利润、规费和税金。 </w:t>
      </w:r>
    </w:p>
    <w:p w:rsidR="00B875DD" w:rsidRDefault="006C48F3">
      <w:pPr>
        <w:spacing w:line="410" w:lineRule="auto"/>
        <w:ind w:left="6" w:right="0"/>
      </w:pPr>
      <w:r>
        <w:t xml:space="preserve">5.3.9 各子目综合单价的计算可通过预算定额及其配套的费用定额确定。其中人工费、材料费、机械费应根据相应的预算定额子目的人材机要素消耗量，以及报告编制期人材机的市场价格等因素确定；管理费、利润、规费、税金等依据预算定额配套的费用定额或取费标准，并依据报告编制期拟建项目的实际情况、市场水平等因素确定。编制建筑工程预算时应同时编制综合单价分析表。 </w:t>
      </w:r>
    </w:p>
    <w:p w:rsidR="00B875DD" w:rsidRDefault="006C48F3">
      <w:pPr>
        <w:spacing w:after="222"/>
        <w:ind w:left="6" w:right="0"/>
      </w:pPr>
      <w:r>
        <w:t xml:space="preserve">5.3.10 建筑工程预算的措施项目应按下列规定计算： </w:t>
      </w:r>
    </w:p>
    <w:p w:rsidR="00B875DD" w:rsidRDefault="006C48F3">
      <w:pPr>
        <w:numPr>
          <w:ilvl w:val="0"/>
          <w:numId w:val="14"/>
        </w:numPr>
        <w:spacing w:line="410" w:lineRule="auto"/>
        <w:ind w:right="0" w:firstLine="566"/>
      </w:pPr>
      <w:r>
        <w:lastRenderedPageBreak/>
        <w:t xml:space="preserve">可以计量的措施项目费与分部分项工程费的计算方法相同，其费用应按本规范5.3.8条、第5.3.9条的规定计算。 </w:t>
      </w:r>
    </w:p>
    <w:p w:rsidR="00B875DD" w:rsidRDefault="006C48F3">
      <w:pPr>
        <w:numPr>
          <w:ilvl w:val="0"/>
          <w:numId w:val="14"/>
        </w:numPr>
        <w:spacing w:line="410" w:lineRule="auto"/>
        <w:ind w:right="0" w:firstLine="566"/>
      </w:pPr>
      <w:r>
        <w:t xml:space="preserve">综合计取的措施项目费应以该单位工程的分部分项工程费和可以计量的措施项目费之和为基数乘以相应费率计算。 </w:t>
      </w:r>
    </w:p>
    <w:p w:rsidR="00B875DD" w:rsidRDefault="006C48F3">
      <w:pPr>
        <w:spacing w:line="410" w:lineRule="auto"/>
        <w:ind w:left="6" w:right="0"/>
      </w:pPr>
      <w:r>
        <w:t xml:space="preserve">5.3.11 安装工程预算的安装工程费应由分部分项工程费和措施项目费组成。 </w:t>
      </w:r>
    </w:p>
    <w:p w:rsidR="00B875DD" w:rsidRDefault="006C48F3">
      <w:pPr>
        <w:numPr>
          <w:ilvl w:val="0"/>
          <w:numId w:val="15"/>
        </w:numPr>
        <w:spacing w:line="410" w:lineRule="auto"/>
        <w:ind w:right="64" w:firstLine="566"/>
      </w:pPr>
      <w:r>
        <w:t xml:space="preserve">安装工程的分部分项工程费应由各子目的工程量乘以各子目的综合单价汇总而成。各子目的工程量应按预算定额项目划分及其工程量计算规则计算。各子目的综合单价应包括人工费、材料费、机械费、管理费、利润、规费和税金。安装工程各子目综合单价可参照本规范第5.3.9条的规定取顶。 </w:t>
      </w:r>
    </w:p>
    <w:p w:rsidR="00B875DD" w:rsidRDefault="006C48F3">
      <w:pPr>
        <w:numPr>
          <w:ilvl w:val="0"/>
          <w:numId w:val="15"/>
        </w:numPr>
        <w:spacing w:after="229" w:line="259" w:lineRule="auto"/>
        <w:ind w:right="64" w:firstLine="566"/>
      </w:pPr>
      <w:r>
        <w:t xml:space="preserve">安装工程的措施项目费可参照本规范第5.3.10条的规定计算。 </w:t>
      </w:r>
    </w:p>
    <w:p w:rsidR="00B875DD" w:rsidRDefault="006C48F3">
      <w:pPr>
        <w:spacing w:line="410" w:lineRule="auto"/>
        <w:ind w:left="6" w:right="0"/>
      </w:pPr>
      <w:r>
        <w:t xml:space="preserve">5.3.12  编制施工图预算时，对预算定额中缺项的子目，应依据预算定额的编制原则和方法编制补充单位估价表。 </w:t>
      </w:r>
      <w:r>
        <w:br w:type="page"/>
      </w:r>
    </w:p>
    <w:p w:rsidR="00B875DD" w:rsidRDefault="006C48F3">
      <w:pPr>
        <w:spacing w:after="760" w:line="259" w:lineRule="auto"/>
        <w:ind w:left="4" w:right="0" w:firstLine="0"/>
      </w:pPr>
      <w:r>
        <w:rPr>
          <w:color w:val="006FC0"/>
        </w:rPr>
        <w:lastRenderedPageBreak/>
        <w:t xml:space="preserve"> </w:t>
      </w:r>
    </w:p>
    <w:p w:rsidR="00B875DD" w:rsidRDefault="006C48F3">
      <w:pPr>
        <w:pStyle w:val="1"/>
        <w:ind w:left="442" w:right="143" w:hanging="442"/>
      </w:pPr>
      <w:bookmarkStart w:id="16" w:name="_Toc28350"/>
      <w:r>
        <w:t>发承包阶段</w:t>
      </w:r>
      <w:r>
        <w:rPr>
          <w:rFonts w:ascii="Times New Roman" w:eastAsia="Times New Roman" w:hAnsi="Times New Roman" w:cs="Times New Roman"/>
          <w:b/>
        </w:rPr>
        <w:t xml:space="preserve"> </w:t>
      </w:r>
      <w:bookmarkEnd w:id="16"/>
    </w:p>
    <w:p w:rsidR="00B875DD" w:rsidRDefault="006C48F3">
      <w:pPr>
        <w:pStyle w:val="2"/>
        <w:ind w:left="535" w:right="140" w:hanging="535"/>
      </w:pPr>
      <w:bookmarkStart w:id="17" w:name="_Toc28351"/>
      <w:r>
        <w:t>一般规定</w:t>
      </w:r>
      <w:r>
        <w:rPr>
          <w:rFonts w:ascii="Cambria" w:eastAsia="Cambria" w:hAnsi="Cambria" w:cs="Cambria"/>
          <w:b/>
        </w:rPr>
        <w:t xml:space="preserve"> </w:t>
      </w:r>
      <w:bookmarkEnd w:id="17"/>
    </w:p>
    <w:p w:rsidR="00B875DD" w:rsidRDefault="006C48F3">
      <w:pPr>
        <w:spacing w:after="272"/>
        <w:ind w:left="6" w:right="0"/>
      </w:pPr>
      <w:r>
        <w:t xml:space="preserve">6.1.1  工程造价咨询企业在发承包阶段可接受委托承担下列工作： </w:t>
      </w:r>
    </w:p>
    <w:p w:rsidR="00B875DD" w:rsidRDefault="006C48F3">
      <w:pPr>
        <w:numPr>
          <w:ilvl w:val="0"/>
          <w:numId w:val="16"/>
        </w:numPr>
        <w:spacing w:after="323"/>
        <w:ind w:right="0" w:hanging="425"/>
      </w:pPr>
      <w:r>
        <w:t xml:space="preserve">工程量清单的编制与审核； </w:t>
      </w:r>
    </w:p>
    <w:p w:rsidR="00B875DD" w:rsidRDefault="006C48F3">
      <w:pPr>
        <w:numPr>
          <w:ilvl w:val="0"/>
          <w:numId w:val="16"/>
        </w:numPr>
        <w:spacing w:after="322"/>
        <w:ind w:right="0" w:hanging="425"/>
      </w:pPr>
      <w:r>
        <w:t xml:space="preserve">最高投标限价的编制与审核；  </w:t>
      </w:r>
    </w:p>
    <w:p w:rsidR="00B875DD" w:rsidRDefault="006C48F3">
      <w:pPr>
        <w:numPr>
          <w:ilvl w:val="0"/>
          <w:numId w:val="16"/>
        </w:numPr>
        <w:spacing w:after="322"/>
        <w:ind w:right="0" w:hanging="425"/>
      </w:pPr>
      <w:r>
        <w:t xml:space="preserve">投保报价编制； </w:t>
      </w:r>
    </w:p>
    <w:p w:rsidR="00B875DD" w:rsidRDefault="006C48F3">
      <w:pPr>
        <w:numPr>
          <w:ilvl w:val="0"/>
          <w:numId w:val="16"/>
        </w:numPr>
        <w:spacing w:after="321"/>
        <w:ind w:right="0" w:hanging="425"/>
      </w:pPr>
      <w:r>
        <w:t xml:space="preserve">招标策划、招标文件的拟定与审核、招标答疑； </w:t>
      </w:r>
    </w:p>
    <w:p w:rsidR="00B875DD" w:rsidRDefault="006C48F3">
      <w:pPr>
        <w:numPr>
          <w:ilvl w:val="0"/>
          <w:numId w:val="16"/>
        </w:numPr>
        <w:spacing w:after="320"/>
        <w:ind w:right="0" w:hanging="425"/>
      </w:pPr>
      <w:r>
        <w:t xml:space="preserve">清标； </w:t>
      </w:r>
    </w:p>
    <w:p w:rsidR="00B875DD" w:rsidRDefault="006C48F3">
      <w:pPr>
        <w:numPr>
          <w:ilvl w:val="0"/>
          <w:numId w:val="16"/>
        </w:numPr>
        <w:spacing w:after="323"/>
        <w:ind w:right="0" w:hanging="425"/>
      </w:pPr>
      <w:r>
        <w:t xml:space="preserve">完善合同补充条款。 </w:t>
      </w:r>
    </w:p>
    <w:p w:rsidR="00B875DD" w:rsidRDefault="006C48F3">
      <w:pPr>
        <w:spacing w:line="444" w:lineRule="auto"/>
        <w:ind w:left="6" w:right="0"/>
      </w:pPr>
      <w:r>
        <w:t>6.1.2</w:t>
      </w:r>
      <w:r>
        <w:rPr>
          <w:rFonts w:ascii="Arial" w:eastAsia="Arial" w:hAnsi="Arial" w:cs="Arial"/>
        </w:rPr>
        <w:t xml:space="preserve"> </w:t>
      </w:r>
      <w:r>
        <w:t xml:space="preserve">工程造价咨询企业可按约定向委托人提供或参与下列招标策划的服务工作：  </w:t>
      </w:r>
    </w:p>
    <w:p w:rsidR="00B875DD" w:rsidRDefault="006C48F3">
      <w:pPr>
        <w:numPr>
          <w:ilvl w:val="0"/>
          <w:numId w:val="17"/>
        </w:numPr>
        <w:spacing w:after="323"/>
        <w:ind w:right="0" w:hanging="425"/>
      </w:pPr>
      <w:r>
        <w:t xml:space="preserve">发承包模式的选择； </w:t>
      </w:r>
    </w:p>
    <w:p w:rsidR="00B875DD" w:rsidRDefault="006C48F3">
      <w:pPr>
        <w:numPr>
          <w:ilvl w:val="0"/>
          <w:numId w:val="17"/>
        </w:numPr>
        <w:spacing w:after="274"/>
        <w:ind w:right="0" w:hanging="425"/>
      </w:pPr>
      <w:r>
        <w:t>总承包与专业分包之间、各专业分包之间、各标段之间发承</w:t>
      </w:r>
    </w:p>
    <w:p w:rsidR="00B875DD" w:rsidRDefault="006C48F3">
      <w:pPr>
        <w:spacing w:after="272"/>
        <w:ind w:left="1144" w:right="0"/>
      </w:pPr>
      <w:r>
        <w:t xml:space="preserve">包范围的界定； </w:t>
      </w:r>
    </w:p>
    <w:p w:rsidR="00B875DD" w:rsidRDefault="006C48F3">
      <w:pPr>
        <w:numPr>
          <w:ilvl w:val="0"/>
          <w:numId w:val="17"/>
        </w:numPr>
        <w:spacing w:after="323"/>
        <w:ind w:right="0" w:hanging="425"/>
      </w:pPr>
      <w:r>
        <w:t xml:space="preserve">拟采用的合同形式和合同范本； </w:t>
      </w:r>
    </w:p>
    <w:p w:rsidR="00B875DD" w:rsidRDefault="006C48F3">
      <w:pPr>
        <w:numPr>
          <w:ilvl w:val="0"/>
          <w:numId w:val="17"/>
        </w:numPr>
        <w:spacing w:after="323"/>
        <w:ind w:right="0" w:hanging="425"/>
      </w:pPr>
      <w:r>
        <w:t xml:space="preserve">合同中拟采用的计价方式； </w:t>
      </w:r>
    </w:p>
    <w:p w:rsidR="00B875DD" w:rsidRDefault="006C48F3">
      <w:pPr>
        <w:numPr>
          <w:ilvl w:val="0"/>
          <w:numId w:val="17"/>
        </w:numPr>
        <w:spacing w:after="324"/>
        <w:ind w:right="0" w:hanging="425"/>
      </w:pPr>
      <w:r>
        <w:lastRenderedPageBreak/>
        <w:t xml:space="preserve">拟采用的主要材料和设备的供应及采购方式； </w:t>
      </w:r>
    </w:p>
    <w:p w:rsidR="00B875DD" w:rsidRDefault="006C48F3">
      <w:pPr>
        <w:numPr>
          <w:ilvl w:val="0"/>
          <w:numId w:val="17"/>
        </w:numPr>
        <w:spacing w:after="274"/>
        <w:ind w:right="0" w:hanging="425"/>
      </w:pPr>
      <w:r>
        <w:t>发包人与各承包人或各承包人之间的合同关系及其各自的职</w:t>
      </w:r>
    </w:p>
    <w:p w:rsidR="00B875DD" w:rsidRDefault="006C48F3">
      <w:pPr>
        <w:ind w:left="1144" w:right="0"/>
      </w:pPr>
      <w:r>
        <w:t xml:space="preserve">责范围。 </w:t>
      </w:r>
    </w:p>
    <w:p w:rsidR="00B875DD" w:rsidRDefault="006C48F3">
      <w:pPr>
        <w:spacing w:after="49" w:line="410" w:lineRule="auto"/>
        <w:ind w:left="6" w:right="0"/>
      </w:pPr>
      <w:r>
        <w:t xml:space="preserve">6.1.3 工程造价咨询企业可接受委托，参与拟定招标文件中下列与工程造价有关的合同条款： </w:t>
      </w:r>
    </w:p>
    <w:p w:rsidR="00B875DD" w:rsidRDefault="006C48F3">
      <w:pPr>
        <w:numPr>
          <w:ilvl w:val="0"/>
          <w:numId w:val="18"/>
        </w:numPr>
        <w:spacing w:after="323"/>
        <w:ind w:right="0" w:hanging="425"/>
      </w:pPr>
      <w:r>
        <w:t xml:space="preserve">合同计价方式的选择； </w:t>
      </w:r>
    </w:p>
    <w:p w:rsidR="00B875DD" w:rsidRDefault="006C48F3">
      <w:pPr>
        <w:numPr>
          <w:ilvl w:val="0"/>
          <w:numId w:val="18"/>
        </w:numPr>
        <w:spacing w:after="323"/>
        <w:ind w:right="0" w:hanging="425"/>
      </w:pPr>
      <w:r>
        <w:t xml:space="preserve">主要材料、设备的供应和采购方式； </w:t>
      </w:r>
    </w:p>
    <w:p w:rsidR="00B875DD" w:rsidRDefault="006C48F3">
      <w:pPr>
        <w:numPr>
          <w:ilvl w:val="0"/>
          <w:numId w:val="18"/>
        </w:numPr>
        <w:spacing w:after="323"/>
        <w:ind w:right="0" w:hanging="425"/>
      </w:pPr>
      <w:r>
        <w:t xml:space="preserve">预付工程款的数额、支付时间及抵扣方式； </w:t>
      </w:r>
    </w:p>
    <w:p w:rsidR="00B875DD" w:rsidRDefault="006C48F3">
      <w:pPr>
        <w:numPr>
          <w:ilvl w:val="0"/>
          <w:numId w:val="18"/>
        </w:numPr>
        <w:spacing w:after="324"/>
        <w:ind w:right="0" w:hanging="425"/>
      </w:pPr>
      <w:r>
        <w:t xml:space="preserve">安全文明施工措施的支付计划，使用要求等； </w:t>
      </w:r>
    </w:p>
    <w:p w:rsidR="00B875DD" w:rsidRDefault="006C48F3">
      <w:pPr>
        <w:numPr>
          <w:ilvl w:val="0"/>
          <w:numId w:val="18"/>
        </w:numPr>
        <w:spacing w:after="324"/>
        <w:ind w:right="0" w:hanging="425"/>
      </w:pPr>
      <w:r>
        <w:t xml:space="preserve">工程计量与支付工程进度款的方式、数额及时间； </w:t>
      </w:r>
    </w:p>
    <w:p w:rsidR="00B875DD" w:rsidRDefault="006C48F3">
      <w:pPr>
        <w:numPr>
          <w:ilvl w:val="0"/>
          <w:numId w:val="18"/>
        </w:numPr>
        <w:spacing w:after="324"/>
        <w:ind w:right="0" w:hanging="425"/>
      </w:pPr>
      <w:r>
        <w:t xml:space="preserve">工程价款的调整因素、方法、程序、支付及时间； </w:t>
      </w:r>
    </w:p>
    <w:p w:rsidR="00B875DD" w:rsidRDefault="006C48F3">
      <w:pPr>
        <w:numPr>
          <w:ilvl w:val="0"/>
          <w:numId w:val="18"/>
        </w:numPr>
        <w:spacing w:after="324"/>
        <w:ind w:right="0" w:hanging="425"/>
      </w:pPr>
      <w:r>
        <w:t xml:space="preserve">施工索赔与现场签证的程序、金额确认与支付时间； </w:t>
      </w:r>
    </w:p>
    <w:p w:rsidR="00B875DD" w:rsidRDefault="006C48F3">
      <w:pPr>
        <w:numPr>
          <w:ilvl w:val="0"/>
          <w:numId w:val="18"/>
        </w:numPr>
        <w:spacing w:after="274"/>
        <w:ind w:right="0" w:hanging="425"/>
      </w:pPr>
      <w:r>
        <w:t>承担计价风险的内容、范围及超出约定内容、范围的调整方</w:t>
      </w:r>
    </w:p>
    <w:p w:rsidR="00B875DD" w:rsidRDefault="006C48F3">
      <w:pPr>
        <w:spacing w:after="272"/>
        <w:ind w:left="1144" w:right="0"/>
      </w:pPr>
      <w:r>
        <w:t xml:space="preserve">法； </w:t>
      </w:r>
    </w:p>
    <w:p w:rsidR="00B875DD" w:rsidRDefault="006C48F3">
      <w:pPr>
        <w:numPr>
          <w:ilvl w:val="0"/>
          <w:numId w:val="18"/>
        </w:numPr>
        <w:spacing w:after="323"/>
        <w:ind w:right="0" w:hanging="425"/>
      </w:pPr>
      <w:r>
        <w:t xml:space="preserve">工程竣工价款结算编制与核对、支付及时间； </w:t>
      </w:r>
    </w:p>
    <w:p w:rsidR="00B875DD" w:rsidRDefault="006C48F3">
      <w:pPr>
        <w:numPr>
          <w:ilvl w:val="0"/>
          <w:numId w:val="18"/>
        </w:numPr>
        <w:spacing w:after="323"/>
        <w:ind w:right="0" w:hanging="425"/>
      </w:pPr>
      <w:r>
        <w:t xml:space="preserve">合同解除的价款结算与支付方式； </w:t>
      </w:r>
    </w:p>
    <w:p w:rsidR="00B875DD" w:rsidRDefault="006C48F3">
      <w:pPr>
        <w:numPr>
          <w:ilvl w:val="0"/>
          <w:numId w:val="18"/>
        </w:numPr>
        <w:spacing w:after="323"/>
        <w:ind w:right="0" w:hanging="425"/>
      </w:pPr>
      <w:r>
        <w:t xml:space="preserve">工程质量保证金的数额、预留方式及时间； </w:t>
      </w:r>
    </w:p>
    <w:p w:rsidR="00B875DD" w:rsidRDefault="006C48F3">
      <w:pPr>
        <w:numPr>
          <w:ilvl w:val="0"/>
          <w:numId w:val="18"/>
        </w:numPr>
        <w:spacing w:after="323"/>
        <w:ind w:right="0" w:hanging="425"/>
      </w:pPr>
      <w:r>
        <w:t xml:space="preserve">违约责任及发生工程价款争议的解决方法及时间 </w:t>
      </w:r>
    </w:p>
    <w:p w:rsidR="00B875DD" w:rsidRDefault="006C48F3">
      <w:pPr>
        <w:numPr>
          <w:ilvl w:val="0"/>
          <w:numId w:val="18"/>
        </w:numPr>
        <w:spacing w:after="273"/>
        <w:ind w:right="0" w:hanging="425"/>
      </w:pPr>
      <w:r>
        <w:t xml:space="preserve">与履行合同、支付价款有关的其他事项等。 </w:t>
      </w:r>
    </w:p>
    <w:p w:rsidR="00B875DD" w:rsidRDefault="006C48F3">
      <w:pPr>
        <w:spacing w:line="410" w:lineRule="auto"/>
        <w:ind w:left="6" w:right="0"/>
      </w:pPr>
      <w:r>
        <w:lastRenderedPageBreak/>
        <w:t xml:space="preserve">6.1.4  工程造价咨询企业可接受委托，参与招投标过程中的投标报价的合规性、合理性分析以及招标答疑等工作。 </w:t>
      </w:r>
    </w:p>
    <w:p w:rsidR="00B875DD" w:rsidRDefault="006C48F3">
      <w:pPr>
        <w:spacing w:line="410" w:lineRule="auto"/>
        <w:ind w:left="6" w:right="0"/>
      </w:pPr>
      <w:r>
        <w:t xml:space="preserve">6.1.5 在发承包阶段合同签订前，工程造价咨询企业可依据招标文件的原则，拟定中标人的投标文件，对不明确的问题应在合同补充条款中进行明确。 </w:t>
      </w:r>
    </w:p>
    <w:p w:rsidR="00B875DD" w:rsidRDefault="006C48F3">
      <w:pPr>
        <w:pStyle w:val="2"/>
        <w:ind w:left="535" w:right="143" w:hanging="535"/>
      </w:pPr>
      <w:bookmarkStart w:id="18" w:name="_Toc28352"/>
      <w:r>
        <w:t>工程量清单、最高投标限价、投标报价编制与审核</w:t>
      </w:r>
      <w:r>
        <w:rPr>
          <w:rFonts w:ascii="Cambria" w:eastAsia="Cambria" w:hAnsi="Cambria" w:cs="Cambria"/>
          <w:b/>
        </w:rPr>
        <w:t xml:space="preserve"> </w:t>
      </w:r>
      <w:bookmarkEnd w:id="18"/>
    </w:p>
    <w:p w:rsidR="00B875DD" w:rsidRDefault="006C48F3">
      <w:pPr>
        <w:spacing w:line="410" w:lineRule="auto"/>
        <w:ind w:left="6" w:right="0"/>
      </w:pPr>
      <w:r>
        <w:t xml:space="preserve">6.2.1  工程量清单、最高投标限价、投标报价的编制对象按委托要求可分为施工总承包项目或专业分包工程项目。 </w:t>
      </w:r>
    </w:p>
    <w:p w:rsidR="00B875DD" w:rsidRDefault="006C48F3">
      <w:pPr>
        <w:spacing w:line="410" w:lineRule="auto"/>
        <w:ind w:left="6" w:right="0"/>
      </w:pPr>
      <w:r>
        <w:t xml:space="preserve">6.2.2 建设工程招标的工程量清单、最高投标限价、投标报价应根据现行国家标准《建设工程工程量清单计价规范》GB50500的有关规定编制与审核。 </w:t>
      </w:r>
    </w:p>
    <w:p w:rsidR="00B875DD" w:rsidRDefault="006C48F3">
      <w:pPr>
        <w:spacing w:line="410" w:lineRule="auto"/>
        <w:ind w:left="6" w:right="0"/>
      </w:pPr>
      <w:r>
        <w:t>6.2.3 最高投标限价、投标报价的工程量应依据招标文件发布的工程量清单确定，最高投标限价和投标报价的单价应采用综合单价，其综</w:t>
      </w:r>
    </w:p>
    <w:p w:rsidR="00B875DD" w:rsidRDefault="006C48F3">
      <w:pPr>
        <w:spacing w:after="222"/>
        <w:ind w:left="6" w:right="0"/>
      </w:pPr>
      <w:r>
        <w:t xml:space="preserve">合单价应包括人工费、材料费、机械费、管理费、利润、规费和税金。 </w:t>
      </w:r>
    </w:p>
    <w:p w:rsidR="00B875DD" w:rsidRDefault="006C48F3">
      <w:pPr>
        <w:spacing w:after="503" w:line="259" w:lineRule="auto"/>
        <w:ind w:left="4" w:right="0" w:firstLine="0"/>
      </w:pPr>
      <w:r>
        <w:t xml:space="preserve"> </w:t>
      </w:r>
    </w:p>
    <w:p w:rsidR="00B875DD" w:rsidRDefault="006C48F3">
      <w:pPr>
        <w:pStyle w:val="2"/>
        <w:spacing w:after="500" w:line="259" w:lineRule="auto"/>
        <w:ind w:left="535" w:right="143" w:hanging="535"/>
      </w:pPr>
      <w:bookmarkStart w:id="19" w:name="_Toc28353"/>
      <w:r>
        <w:t>清</w:t>
      </w:r>
      <w:r>
        <w:rPr>
          <w:rFonts w:ascii="Cambria" w:eastAsia="Cambria" w:hAnsi="Cambria" w:cs="Cambria"/>
          <w:b/>
        </w:rPr>
        <w:t xml:space="preserve">  </w:t>
      </w:r>
      <w:r>
        <w:t>标</w:t>
      </w:r>
      <w:r>
        <w:rPr>
          <w:rFonts w:ascii="Cambria" w:eastAsia="Cambria" w:hAnsi="Cambria" w:cs="Cambria"/>
          <w:b/>
        </w:rPr>
        <w:t xml:space="preserve"> </w:t>
      </w:r>
      <w:bookmarkEnd w:id="19"/>
    </w:p>
    <w:p w:rsidR="00B875DD" w:rsidRDefault="006C48F3">
      <w:pPr>
        <w:spacing w:line="410" w:lineRule="auto"/>
        <w:ind w:left="6" w:right="0"/>
      </w:pPr>
      <w:r>
        <w:t xml:space="preserve">6.3.1  工程造价咨询企业接受发包人的委托进行清标工作，应在开标后到评标前进行。 </w:t>
      </w:r>
    </w:p>
    <w:p w:rsidR="00B875DD" w:rsidRDefault="006C48F3">
      <w:pPr>
        <w:spacing w:after="272"/>
        <w:ind w:left="6" w:right="0"/>
      </w:pPr>
      <w:r>
        <w:t xml:space="preserve">6.3.2 清标工作应包括下列内容： </w:t>
      </w:r>
    </w:p>
    <w:p w:rsidR="00B875DD" w:rsidRDefault="006C48F3">
      <w:pPr>
        <w:numPr>
          <w:ilvl w:val="0"/>
          <w:numId w:val="19"/>
        </w:numPr>
        <w:spacing w:after="322"/>
        <w:ind w:right="0" w:hanging="425"/>
      </w:pPr>
      <w:r>
        <w:lastRenderedPageBreak/>
        <w:t xml:space="preserve">对招标文件的实质性响应； </w:t>
      </w:r>
    </w:p>
    <w:p w:rsidR="00B875DD" w:rsidRDefault="006C48F3">
      <w:pPr>
        <w:numPr>
          <w:ilvl w:val="0"/>
          <w:numId w:val="19"/>
        </w:numPr>
        <w:spacing w:after="322"/>
        <w:ind w:right="0" w:hanging="425"/>
      </w:pPr>
      <w:r>
        <w:t xml:space="preserve">错漏项分析； </w:t>
      </w:r>
    </w:p>
    <w:p w:rsidR="00B875DD" w:rsidRDefault="006C48F3">
      <w:pPr>
        <w:numPr>
          <w:ilvl w:val="0"/>
          <w:numId w:val="19"/>
        </w:numPr>
        <w:spacing w:after="324"/>
        <w:ind w:right="0" w:hanging="425"/>
      </w:pPr>
      <w:r>
        <w:t xml:space="preserve">分部分项工程量清单项目综合单价的合理性分析； </w:t>
      </w:r>
    </w:p>
    <w:p w:rsidR="00B875DD" w:rsidRDefault="006C48F3">
      <w:pPr>
        <w:numPr>
          <w:ilvl w:val="0"/>
          <w:numId w:val="19"/>
        </w:numPr>
        <w:spacing w:after="274"/>
        <w:ind w:right="0" w:hanging="425"/>
      </w:pPr>
      <w:r>
        <w:t>措施项目清单的完整性和合理性分析，以及其中不可竞</w:t>
      </w:r>
    </w:p>
    <w:p w:rsidR="00B875DD" w:rsidRDefault="006C48F3">
      <w:pPr>
        <w:spacing w:after="272"/>
        <w:ind w:left="1712" w:right="0"/>
      </w:pPr>
      <w:r>
        <w:t xml:space="preserve">争费用正确性分析； </w:t>
      </w:r>
    </w:p>
    <w:p w:rsidR="00B875DD" w:rsidRDefault="006C48F3">
      <w:pPr>
        <w:numPr>
          <w:ilvl w:val="0"/>
          <w:numId w:val="19"/>
        </w:numPr>
        <w:ind w:right="0" w:hanging="425"/>
      </w:pPr>
      <w:r>
        <w:t xml:space="preserve">其他项目清单项目完整性和合理性分析； </w:t>
      </w:r>
    </w:p>
    <w:p w:rsidR="00B875DD" w:rsidRDefault="006C48F3">
      <w:pPr>
        <w:numPr>
          <w:ilvl w:val="0"/>
          <w:numId w:val="19"/>
        </w:numPr>
        <w:spacing w:after="322"/>
        <w:ind w:right="0" w:hanging="425"/>
      </w:pPr>
      <w:r>
        <w:t xml:space="preserve">不平衡报价分析； </w:t>
      </w:r>
    </w:p>
    <w:p w:rsidR="00B875DD" w:rsidRDefault="006C48F3">
      <w:pPr>
        <w:numPr>
          <w:ilvl w:val="0"/>
          <w:numId w:val="19"/>
        </w:numPr>
        <w:spacing w:after="323"/>
        <w:ind w:right="0" w:hanging="425"/>
      </w:pPr>
      <w:r>
        <w:t xml:space="preserve">暂列金额、暂估价正确性复核； </w:t>
      </w:r>
    </w:p>
    <w:p w:rsidR="00B875DD" w:rsidRDefault="006C48F3">
      <w:pPr>
        <w:numPr>
          <w:ilvl w:val="0"/>
          <w:numId w:val="19"/>
        </w:numPr>
        <w:spacing w:after="323"/>
        <w:ind w:right="0" w:hanging="425"/>
      </w:pPr>
      <w:r>
        <w:t xml:space="preserve">总价与合价的算术性复核及修正建议； </w:t>
      </w:r>
    </w:p>
    <w:p w:rsidR="00B875DD" w:rsidRDefault="006C48F3">
      <w:pPr>
        <w:numPr>
          <w:ilvl w:val="0"/>
          <w:numId w:val="19"/>
        </w:numPr>
        <w:spacing w:after="273"/>
        <w:ind w:right="0" w:hanging="425"/>
      </w:pPr>
      <w:r>
        <w:t xml:space="preserve">其他应分析和澄清的问题。 </w:t>
      </w:r>
    </w:p>
    <w:p w:rsidR="00B875DD" w:rsidRDefault="006C48F3">
      <w:pPr>
        <w:spacing w:line="410" w:lineRule="auto"/>
        <w:ind w:left="6" w:right="0"/>
      </w:pPr>
      <w:r>
        <w:t xml:space="preserve">6.3.3  工程造价咨询企业应按合同要求向发包人出具对各投标人投标报价的清标报告。清标报告中，对投标报价的各种分析、对比表可按规范附录D进行编制。 </w:t>
      </w:r>
    </w:p>
    <w:p w:rsidR="00B875DD" w:rsidRDefault="006C48F3">
      <w:pPr>
        <w:spacing w:after="222"/>
        <w:ind w:left="6" w:right="0"/>
      </w:pPr>
      <w:r>
        <w:t xml:space="preserve">6.3.4 工程造价咨询企业对承接的清标工作，应负有保密的义务。 </w:t>
      </w:r>
    </w:p>
    <w:p w:rsidR="00B875DD" w:rsidRDefault="006C48F3">
      <w:pPr>
        <w:spacing w:after="748" w:line="259" w:lineRule="auto"/>
        <w:ind w:left="429" w:right="0" w:firstLine="0"/>
      </w:pPr>
      <w:r>
        <w:t xml:space="preserve"> </w:t>
      </w:r>
    </w:p>
    <w:p w:rsidR="00B875DD" w:rsidRDefault="006C48F3">
      <w:pPr>
        <w:pStyle w:val="1"/>
        <w:ind w:left="442" w:right="143" w:hanging="442"/>
      </w:pPr>
      <w:bookmarkStart w:id="20" w:name="_Toc28354"/>
      <w:r>
        <w:t>实</w:t>
      </w:r>
      <w:r>
        <w:rPr>
          <w:rFonts w:ascii="Times New Roman" w:eastAsia="Times New Roman" w:hAnsi="Times New Roman" w:cs="Times New Roman"/>
          <w:b/>
        </w:rPr>
        <w:t xml:space="preserve"> </w:t>
      </w:r>
      <w:r>
        <w:t>施</w:t>
      </w:r>
      <w:r>
        <w:rPr>
          <w:rFonts w:ascii="Times New Roman" w:eastAsia="Times New Roman" w:hAnsi="Times New Roman" w:cs="Times New Roman"/>
          <w:b/>
        </w:rPr>
        <w:t xml:space="preserve"> </w:t>
      </w:r>
      <w:r>
        <w:t>阶</w:t>
      </w:r>
      <w:r>
        <w:rPr>
          <w:rFonts w:ascii="Times New Roman" w:eastAsia="Times New Roman" w:hAnsi="Times New Roman" w:cs="Times New Roman"/>
          <w:b/>
        </w:rPr>
        <w:t xml:space="preserve"> </w:t>
      </w:r>
      <w:r>
        <w:t>段</w:t>
      </w:r>
      <w:r>
        <w:rPr>
          <w:rFonts w:ascii="Times New Roman" w:eastAsia="Times New Roman" w:hAnsi="Times New Roman" w:cs="Times New Roman"/>
          <w:b/>
        </w:rPr>
        <w:t xml:space="preserve"> </w:t>
      </w:r>
      <w:bookmarkEnd w:id="20"/>
    </w:p>
    <w:p w:rsidR="00B875DD" w:rsidRDefault="006C48F3">
      <w:pPr>
        <w:pStyle w:val="2"/>
        <w:ind w:left="466" w:right="143" w:hanging="466"/>
      </w:pPr>
      <w:bookmarkStart w:id="21" w:name="_Toc28355"/>
      <w:r>
        <w:t>一般规定</w:t>
      </w:r>
      <w:r>
        <w:rPr>
          <w:rFonts w:ascii="Cambria" w:eastAsia="Cambria" w:hAnsi="Cambria" w:cs="Cambria"/>
          <w:b/>
        </w:rPr>
        <w:t xml:space="preserve"> </w:t>
      </w:r>
      <w:bookmarkEnd w:id="21"/>
    </w:p>
    <w:p w:rsidR="00B875DD" w:rsidRDefault="006C48F3">
      <w:pPr>
        <w:spacing w:after="222"/>
        <w:ind w:left="436" w:right="0"/>
      </w:pPr>
      <w:r>
        <w:t xml:space="preserve">7.1.1  工程造价咨询企业在实施阶段可接受委托承担下列工作： </w:t>
      </w:r>
    </w:p>
    <w:p w:rsidR="00B875DD" w:rsidRDefault="006C48F3">
      <w:pPr>
        <w:numPr>
          <w:ilvl w:val="0"/>
          <w:numId w:val="20"/>
        </w:numPr>
        <w:spacing w:after="222"/>
        <w:ind w:right="0" w:firstLine="979"/>
      </w:pPr>
      <w:r>
        <w:lastRenderedPageBreak/>
        <w:t xml:space="preserve">编制建设项目资金使用计划； </w:t>
      </w:r>
    </w:p>
    <w:p w:rsidR="00B875DD" w:rsidRDefault="006C48F3">
      <w:pPr>
        <w:numPr>
          <w:ilvl w:val="0"/>
          <w:numId w:val="20"/>
        </w:numPr>
        <w:spacing w:after="222"/>
        <w:ind w:right="0" w:firstLine="979"/>
      </w:pPr>
      <w:r>
        <w:t xml:space="preserve">进行工程计量与工程款审核； </w:t>
      </w:r>
    </w:p>
    <w:p w:rsidR="00B875DD" w:rsidRDefault="006C48F3">
      <w:pPr>
        <w:numPr>
          <w:ilvl w:val="0"/>
          <w:numId w:val="20"/>
        </w:numPr>
        <w:spacing w:after="222"/>
        <w:ind w:right="0" w:firstLine="979"/>
      </w:pPr>
      <w:r>
        <w:t xml:space="preserve">询价与核价； </w:t>
      </w:r>
    </w:p>
    <w:p w:rsidR="00B875DD" w:rsidRDefault="006C48F3">
      <w:pPr>
        <w:numPr>
          <w:ilvl w:val="0"/>
          <w:numId w:val="20"/>
        </w:numPr>
        <w:spacing w:after="222"/>
        <w:ind w:right="0" w:firstLine="979"/>
      </w:pPr>
      <w:r>
        <w:t xml:space="preserve">进行工程变更、工程索赔和工程签证的审核； </w:t>
      </w:r>
    </w:p>
    <w:p w:rsidR="00B875DD" w:rsidRDefault="006C48F3">
      <w:pPr>
        <w:numPr>
          <w:ilvl w:val="0"/>
          <w:numId w:val="20"/>
        </w:numPr>
        <w:spacing w:line="410" w:lineRule="auto"/>
        <w:ind w:right="0" w:firstLine="979"/>
      </w:pPr>
      <w:r>
        <w:t xml:space="preserve">合同中止结算、分阶段工程结算、专业工程分包结算的编制与审核； </w:t>
      </w:r>
    </w:p>
    <w:p w:rsidR="00B875DD" w:rsidRDefault="006C48F3">
      <w:pPr>
        <w:numPr>
          <w:ilvl w:val="0"/>
          <w:numId w:val="20"/>
        </w:numPr>
        <w:spacing w:after="222"/>
        <w:ind w:right="0" w:firstLine="979"/>
      </w:pPr>
      <w:r>
        <w:t xml:space="preserve">进行工程造价动态管理。 </w:t>
      </w:r>
    </w:p>
    <w:p w:rsidR="00B875DD" w:rsidRDefault="006C48F3">
      <w:pPr>
        <w:spacing w:after="222"/>
        <w:ind w:left="436" w:right="0"/>
      </w:pPr>
      <w:r>
        <w:t xml:space="preserve">7.1.2  工程造价咨询企业应要求委托人提供与该阶段工程造价相关的文件和资料，应包括下列内容： </w:t>
      </w:r>
    </w:p>
    <w:p w:rsidR="00B875DD" w:rsidRDefault="006C48F3">
      <w:pPr>
        <w:numPr>
          <w:ilvl w:val="0"/>
          <w:numId w:val="21"/>
        </w:numPr>
        <w:spacing w:after="222"/>
        <w:ind w:right="0" w:firstLine="979"/>
      </w:pPr>
      <w:r>
        <w:t xml:space="preserve">设计概算及其批准文件； </w:t>
      </w:r>
    </w:p>
    <w:p w:rsidR="00B875DD" w:rsidRDefault="006C48F3">
      <w:pPr>
        <w:numPr>
          <w:ilvl w:val="0"/>
          <w:numId w:val="21"/>
        </w:numPr>
        <w:spacing w:after="222"/>
        <w:ind w:right="0" w:firstLine="979"/>
      </w:pPr>
      <w:r>
        <w:t xml:space="preserve">招标文件、施工图纸、工程量清单、招标澄清等文件； </w:t>
      </w:r>
    </w:p>
    <w:p w:rsidR="00B875DD" w:rsidRDefault="006C48F3">
      <w:pPr>
        <w:numPr>
          <w:ilvl w:val="0"/>
          <w:numId w:val="21"/>
        </w:numPr>
        <w:spacing w:after="222"/>
        <w:ind w:right="0" w:firstLine="979"/>
      </w:pPr>
      <w:r>
        <w:t xml:space="preserve">最高投标限价或施工图预算文件； </w:t>
      </w:r>
    </w:p>
    <w:p w:rsidR="00B875DD" w:rsidRDefault="006C48F3">
      <w:pPr>
        <w:numPr>
          <w:ilvl w:val="0"/>
          <w:numId w:val="21"/>
        </w:numPr>
        <w:spacing w:after="222"/>
        <w:ind w:right="0" w:firstLine="979"/>
      </w:pPr>
      <w:r>
        <w:t xml:space="preserve">中标人的投标文件； </w:t>
      </w:r>
    </w:p>
    <w:p w:rsidR="00B875DD" w:rsidRDefault="006C48F3">
      <w:pPr>
        <w:numPr>
          <w:ilvl w:val="0"/>
          <w:numId w:val="21"/>
        </w:numPr>
        <w:spacing w:after="222"/>
        <w:ind w:right="0" w:firstLine="979"/>
      </w:pPr>
      <w:r>
        <w:t xml:space="preserve">评标报告、投标报价分析报告、投标澄清文件等； </w:t>
      </w:r>
    </w:p>
    <w:p w:rsidR="00B875DD" w:rsidRDefault="006C48F3">
      <w:pPr>
        <w:numPr>
          <w:ilvl w:val="0"/>
          <w:numId w:val="21"/>
        </w:numPr>
        <w:spacing w:line="410" w:lineRule="auto"/>
        <w:ind w:right="0" w:firstLine="979"/>
      </w:pPr>
      <w:r>
        <w:t xml:space="preserve">施工总承包合同、施工专业承包合同以及材料、设备采购合同等； </w:t>
      </w:r>
    </w:p>
    <w:p w:rsidR="00B875DD" w:rsidRDefault="006C48F3">
      <w:pPr>
        <w:numPr>
          <w:ilvl w:val="0"/>
          <w:numId w:val="21"/>
        </w:numPr>
        <w:spacing w:after="222"/>
        <w:ind w:right="0" w:firstLine="979"/>
      </w:pPr>
      <w:r>
        <w:t xml:space="preserve">经认可的施工组织设计； </w:t>
      </w:r>
    </w:p>
    <w:p w:rsidR="00B875DD" w:rsidRDefault="006C48F3">
      <w:pPr>
        <w:numPr>
          <w:ilvl w:val="0"/>
          <w:numId w:val="21"/>
        </w:numPr>
        <w:spacing w:after="222"/>
        <w:ind w:right="0" w:firstLine="979"/>
      </w:pPr>
      <w:r>
        <w:t xml:space="preserve">其他有关资料。 </w:t>
      </w:r>
    </w:p>
    <w:p w:rsidR="00B875DD" w:rsidRDefault="006C48F3">
      <w:pPr>
        <w:spacing w:after="222"/>
        <w:ind w:left="435" w:right="0"/>
      </w:pPr>
      <w:r>
        <w:t xml:space="preserve">7.1.3  工程造价咨询企业应收集下列资料： </w:t>
      </w:r>
    </w:p>
    <w:p w:rsidR="00B875DD" w:rsidRDefault="006C48F3">
      <w:pPr>
        <w:numPr>
          <w:ilvl w:val="0"/>
          <w:numId w:val="22"/>
        </w:numPr>
        <w:spacing w:after="222"/>
        <w:ind w:right="0" w:hanging="281"/>
      </w:pPr>
      <w:r>
        <w:t xml:space="preserve">相应工程造价管理机构发布的有关文件； </w:t>
      </w:r>
    </w:p>
    <w:p w:rsidR="00B875DD" w:rsidRDefault="006C48F3">
      <w:pPr>
        <w:numPr>
          <w:ilvl w:val="0"/>
          <w:numId w:val="22"/>
        </w:numPr>
        <w:spacing w:after="222"/>
        <w:ind w:right="0" w:hanging="281"/>
      </w:pPr>
      <w:r>
        <w:lastRenderedPageBreak/>
        <w:t xml:space="preserve">有关工程技术经济方面的标准等； </w:t>
      </w:r>
    </w:p>
    <w:p w:rsidR="00B875DD" w:rsidRDefault="006C48F3">
      <w:pPr>
        <w:numPr>
          <w:ilvl w:val="0"/>
          <w:numId w:val="22"/>
        </w:numPr>
        <w:spacing w:after="222"/>
        <w:ind w:right="0" w:hanging="281"/>
      </w:pPr>
      <w:r>
        <w:t xml:space="preserve">相应工程造价管理机构发布的工程造价信息或市场价格； </w:t>
      </w:r>
    </w:p>
    <w:p w:rsidR="00B875DD" w:rsidRDefault="006C48F3">
      <w:pPr>
        <w:numPr>
          <w:ilvl w:val="0"/>
          <w:numId w:val="22"/>
        </w:numPr>
        <w:spacing w:after="222"/>
        <w:ind w:right="0" w:hanging="281"/>
      </w:pPr>
      <w:r>
        <w:t xml:space="preserve">类似项目的各种技术经济指标和参数； </w:t>
      </w:r>
    </w:p>
    <w:p w:rsidR="00B875DD" w:rsidRDefault="006C48F3">
      <w:pPr>
        <w:numPr>
          <w:ilvl w:val="0"/>
          <w:numId w:val="22"/>
        </w:numPr>
        <w:spacing w:after="222"/>
        <w:ind w:right="0" w:hanging="281"/>
      </w:pPr>
      <w:r>
        <w:t xml:space="preserve">其他有关资料。 </w:t>
      </w:r>
    </w:p>
    <w:p w:rsidR="00B875DD" w:rsidRDefault="006C48F3">
      <w:pPr>
        <w:spacing w:line="410" w:lineRule="auto"/>
        <w:ind w:left="6" w:right="0"/>
      </w:pPr>
      <w:r>
        <w:t xml:space="preserve">7.1.4 工程造价咨询企业可协助委托人建立项目工程造价管理制度与流程等。 </w:t>
      </w:r>
    </w:p>
    <w:p w:rsidR="00B875DD" w:rsidRDefault="006C48F3">
      <w:pPr>
        <w:spacing w:line="410" w:lineRule="auto"/>
        <w:ind w:left="6" w:right="0"/>
      </w:pPr>
      <w:r>
        <w:t xml:space="preserve">7.1.5 实施阶段的工程计量与工程款支付应符合现行国家标准《建设工程工程量清单计价规范》GB50500及相关专业的工程计量规范的相关规定。 </w:t>
      </w:r>
    </w:p>
    <w:p w:rsidR="00B875DD" w:rsidRDefault="006C48F3">
      <w:pPr>
        <w:spacing w:line="410" w:lineRule="auto"/>
        <w:ind w:left="6" w:right="0"/>
      </w:pPr>
      <w:r>
        <w:t xml:space="preserve">7.1.6 实施阶段的项目资金使用计划表、工程造价动态管理与控制表、签约合同价与费用支付情况表、材料（设备）询价（核价）表，可分别按本规范附录E编制。 </w:t>
      </w:r>
    </w:p>
    <w:p w:rsidR="00B875DD" w:rsidRDefault="006C48F3">
      <w:pPr>
        <w:spacing w:after="494" w:line="259" w:lineRule="auto"/>
        <w:ind w:left="428" w:right="0" w:firstLine="0"/>
      </w:pPr>
      <w:r>
        <w:t xml:space="preserve"> </w:t>
      </w:r>
    </w:p>
    <w:p w:rsidR="00B875DD" w:rsidRDefault="006C48F3">
      <w:pPr>
        <w:pStyle w:val="2"/>
        <w:ind w:left="466" w:right="140" w:hanging="466"/>
      </w:pPr>
      <w:bookmarkStart w:id="22" w:name="_Toc28356"/>
      <w:r>
        <w:t>编制项目工程资金使用计划</w:t>
      </w:r>
      <w:r>
        <w:rPr>
          <w:rFonts w:ascii="Cambria" w:eastAsia="Cambria" w:hAnsi="Cambria" w:cs="Cambria"/>
          <w:b/>
        </w:rPr>
        <w:t xml:space="preserve"> </w:t>
      </w:r>
      <w:bookmarkEnd w:id="22"/>
    </w:p>
    <w:p w:rsidR="00B875DD" w:rsidRDefault="006C48F3">
      <w:pPr>
        <w:spacing w:line="410" w:lineRule="auto"/>
        <w:ind w:left="6" w:right="0"/>
      </w:pPr>
      <w:r>
        <w:t xml:space="preserve">7.2.1  项目资金使用计划应根据施工合同和批准的施工组织设计进行编制，应与计划工期、预付款支付时间、进度款支付节点、竣工结算支付节点相符。 </w:t>
      </w:r>
    </w:p>
    <w:p w:rsidR="00B875DD" w:rsidRDefault="006C48F3">
      <w:pPr>
        <w:spacing w:line="410" w:lineRule="auto"/>
        <w:ind w:left="6" w:right="0"/>
      </w:pPr>
      <w:r>
        <w:t xml:space="preserve">7.2.2  项目资金使用计划应根据工程量变化、工期、建设单位资金情况等定期或适时调整。 </w:t>
      </w:r>
    </w:p>
    <w:p w:rsidR="00B875DD" w:rsidRDefault="006C48F3">
      <w:pPr>
        <w:spacing w:after="494" w:line="259" w:lineRule="auto"/>
        <w:ind w:left="0" w:right="1" w:firstLine="0"/>
        <w:jc w:val="center"/>
      </w:pPr>
      <w:r>
        <w:t xml:space="preserve"> </w:t>
      </w:r>
    </w:p>
    <w:p w:rsidR="00B875DD" w:rsidRDefault="006C48F3">
      <w:pPr>
        <w:pStyle w:val="2"/>
        <w:ind w:left="536" w:right="143" w:hanging="536"/>
      </w:pPr>
      <w:bookmarkStart w:id="23" w:name="_Toc28357"/>
      <w:r>
        <w:lastRenderedPageBreak/>
        <w:t>工程计量与合同价款审核</w:t>
      </w:r>
      <w:r>
        <w:rPr>
          <w:rFonts w:ascii="Cambria" w:eastAsia="Cambria" w:hAnsi="Cambria" w:cs="Cambria"/>
          <w:b/>
        </w:rPr>
        <w:t xml:space="preserve"> </w:t>
      </w:r>
      <w:bookmarkEnd w:id="23"/>
    </w:p>
    <w:p w:rsidR="00B875DD" w:rsidRDefault="006C48F3">
      <w:pPr>
        <w:spacing w:line="410" w:lineRule="auto"/>
        <w:ind w:left="6" w:right="0"/>
      </w:pPr>
      <w:r>
        <w:t xml:space="preserve">7.3.1  工程造价咨询企业应根据工程施工或采购合同中有关的工程计量周期、时间，及合同价款支付时间等约定，审核工程计量报告与合同价款支付申请。 </w:t>
      </w:r>
    </w:p>
    <w:p w:rsidR="00B875DD" w:rsidRDefault="006C48F3">
      <w:pPr>
        <w:spacing w:after="222"/>
        <w:ind w:left="6" w:right="0"/>
      </w:pPr>
      <w:r>
        <w:t>7.3.2  工程造价咨询企业应对承包人提交的工程计量结果进行审核，</w:t>
      </w:r>
    </w:p>
    <w:p w:rsidR="00B875DD" w:rsidRDefault="006C48F3">
      <w:pPr>
        <w:spacing w:line="410" w:lineRule="auto"/>
        <w:ind w:left="6" w:right="0"/>
      </w:pPr>
      <w:r>
        <w:t>根据合同约定确定本期应付合同价款金额，并向委托人提交合同价款支付审核意见。</w:t>
      </w:r>
      <w:r>
        <w:rPr>
          <w:color w:val="FFFFFF"/>
        </w:rPr>
        <w:t>冯泽军藏书</w:t>
      </w:r>
      <w:r>
        <w:t xml:space="preserve"> </w:t>
      </w:r>
    </w:p>
    <w:p w:rsidR="00B875DD" w:rsidRDefault="006C48F3">
      <w:pPr>
        <w:spacing w:line="410" w:lineRule="auto"/>
        <w:ind w:left="6" w:right="0"/>
      </w:pPr>
      <w:r>
        <w:t xml:space="preserve">7.3.3  工程造价咨询企业应对所咨询的项目建立工程款支付台账，编制签约合同价与费用支付情况表，见本规范附录E表E.0.3。合同价款支付台账应按施工合同分类建立，其内容应包括已完合同价款金额、已支付合同价款金额、预付款金额、未支付合同价款金额等。 </w:t>
      </w:r>
    </w:p>
    <w:p w:rsidR="00B875DD" w:rsidRDefault="006C48F3">
      <w:pPr>
        <w:spacing w:line="410" w:lineRule="auto"/>
        <w:ind w:left="6" w:right="0"/>
      </w:pPr>
      <w:r>
        <w:t xml:space="preserve">7.3.4  工程造价咨询企业向委托人提交的工程款支付审核意见，应包括下列主要内容： </w:t>
      </w:r>
    </w:p>
    <w:p w:rsidR="00B875DD" w:rsidRDefault="006C48F3">
      <w:pPr>
        <w:numPr>
          <w:ilvl w:val="0"/>
          <w:numId w:val="23"/>
        </w:numPr>
        <w:spacing w:after="222"/>
        <w:ind w:right="0" w:hanging="281"/>
      </w:pPr>
      <w:r>
        <w:t xml:space="preserve">工程合同总价款； </w:t>
      </w:r>
    </w:p>
    <w:p w:rsidR="00B875DD" w:rsidRDefault="006C48F3">
      <w:pPr>
        <w:numPr>
          <w:ilvl w:val="0"/>
          <w:numId w:val="23"/>
        </w:numPr>
        <w:spacing w:after="222"/>
        <w:ind w:right="0" w:hanging="281"/>
      </w:pPr>
      <w:r>
        <w:t xml:space="preserve">期初累计已完成的合同价款及其占总价款比例；  </w:t>
      </w:r>
    </w:p>
    <w:p w:rsidR="00B875DD" w:rsidRDefault="006C48F3">
      <w:pPr>
        <w:numPr>
          <w:ilvl w:val="0"/>
          <w:numId w:val="23"/>
        </w:numPr>
        <w:spacing w:after="222"/>
        <w:ind w:right="0" w:hanging="281"/>
      </w:pPr>
      <w:r>
        <w:t xml:space="preserve">期末累计已实际支付的合同价款及其占总价款比例； </w:t>
      </w:r>
    </w:p>
    <w:p w:rsidR="00B875DD" w:rsidRDefault="006C48F3">
      <w:pPr>
        <w:numPr>
          <w:ilvl w:val="0"/>
          <w:numId w:val="23"/>
        </w:numPr>
        <w:spacing w:after="222"/>
        <w:ind w:right="0" w:hanging="281"/>
      </w:pPr>
      <w:r>
        <w:t xml:space="preserve">本周期合计完成的合同价款及其占总价款比例； </w:t>
      </w:r>
    </w:p>
    <w:p w:rsidR="00B875DD" w:rsidRDefault="006C48F3">
      <w:pPr>
        <w:numPr>
          <w:ilvl w:val="0"/>
          <w:numId w:val="23"/>
        </w:numPr>
        <w:spacing w:after="222"/>
        <w:ind w:right="0" w:hanging="281"/>
      </w:pPr>
      <w:r>
        <w:t xml:space="preserve">本周期应扣减的金额及其占总价款比例； </w:t>
      </w:r>
    </w:p>
    <w:p w:rsidR="00B875DD" w:rsidRDefault="006C48F3">
      <w:pPr>
        <w:numPr>
          <w:ilvl w:val="0"/>
          <w:numId w:val="23"/>
        </w:numPr>
        <w:spacing w:after="222"/>
        <w:ind w:right="0" w:hanging="281"/>
      </w:pPr>
      <w:r>
        <w:t xml:space="preserve">本周期实际应支付的合同价款及其占总价款比例； </w:t>
      </w:r>
    </w:p>
    <w:p w:rsidR="00B875DD" w:rsidRDefault="006C48F3">
      <w:pPr>
        <w:spacing w:after="222"/>
        <w:ind w:left="6" w:right="0"/>
      </w:pPr>
      <w:r>
        <w:t>7.3.5  工程造价咨询企业应根据咨询合同约定，在工程的实施阶段可</w:t>
      </w:r>
    </w:p>
    <w:p w:rsidR="00B875DD" w:rsidRDefault="006C48F3">
      <w:pPr>
        <w:spacing w:line="410" w:lineRule="auto"/>
        <w:ind w:left="6" w:right="0"/>
      </w:pPr>
      <w:r>
        <w:lastRenderedPageBreak/>
        <w:t xml:space="preserve">按照竣工结算的有关要求，编制或审核合同中止结算、分阶段工程结算和专业工程分包结算，确定合同款项和应支付的数额等。 </w:t>
      </w:r>
    </w:p>
    <w:p w:rsidR="00B875DD" w:rsidRDefault="006C48F3">
      <w:pPr>
        <w:spacing w:after="497" w:line="259" w:lineRule="auto"/>
        <w:ind w:left="2" w:right="0" w:firstLine="0"/>
      </w:pPr>
      <w:r>
        <w:t xml:space="preserve"> </w:t>
      </w:r>
    </w:p>
    <w:p w:rsidR="00B875DD" w:rsidRDefault="006C48F3">
      <w:pPr>
        <w:pStyle w:val="2"/>
        <w:ind w:left="537" w:right="145" w:hanging="537"/>
      </w:pPr>
      <w:bookmarkStart w:id="24" w:name="_Toc28358"/>
      <w:r>
        <w:t>询价与核价</w:t>
      </w:r>
      <w:r>
        <w:rPr>
          <w:rFonts w:ascii="Cambria" w:eastAsia="Cambria" w:hAnsi="Cambria" w:cs="Cambria"/>
          <w:b/>
        </w:rPr>
        <w:t xml:space="preserve"> </w:t>
      </w:r>
      <w:bookmarkEnd w:id="24"/>
    </w:p>
    <w:p w:rsidR="00B875DD" w:rsidRDefault="006C48F3">
      <w:pPr>
        <w:spacing w:after="222"/>
        <w:ind w:left="6" w:right="0"/>
      </w:pPr>
      <w:r>
        <w:t>7.4.1  工程造价咨询企业可接受委托，承担人工、主要材料、设备、</w:t>
      </w:r>
    </w:p>
    <w:p w:rsidR="00B875DD" w:rsidRDefault="006C48F3">
      <w:pPr>
        <w:spacing w:line="410" w:lineRule="auto"/>
        <w:ind w:left="6" w:right="0"/>
      </w:pPr>
      <w:r>
        <w:t xml:space="preserve">机械台班及专业工程等市场价格的查询工作，并应出具相应的价格咨询报告或审核意见。 </w:t>
      </w:r>
    </w:p>
    <w:p w:rsidR="00B875DD" w:rsidRDefault="006C48F3">
      <w:pPr>
        <w:spacing w:line="410" w:lineRule="auto"/>
        <w:ind w:left="6" w:right="0"/>
      </w:pPr>
      <w:r>
        <w:t xml:space="preserve">7.4.2  工程造价咨询企业在确定或调整建筑安装工程的人工费时，可根据合同约定、相关工程造价管理机构发布的信息价格，以及市场价格信息进行计算；主要材料、设备、机械台班及专业工程等相关价格的查询与审核，可按照市场调查取得的价格信息进行计算。 </w:t>
      </w:r>
      <w:r>
        <w:br w:type="page"/>
      </w:r>
    </w:p>
    <w:p w:rsidR="00B875DD" w:rsidRDefault="006C48F3">
      <w:pPr>
        <w:spacing w:after="493" w:line="259" w:lineRule="auto"/>
        <w:ind w:left="1281" w:right="0" w:firstLine="0"/>
      </w:pPr>
      <w:r>
        <w:lastRenderedPageBreak/>
        <w:t xml:space="preserve"> </w:t>
      </w:r>
    </w:p>
    <w:p w:rsidR="00B875DD" w:rsidRDefault="006C48F3">
      <w:pPr>
        <w:pStyle w:val="2"/>
        <w:ind w:left="535" w:right="140" w:hanging="535"/>
      </w:pPr>
      <w:bookmarkStart w:id="25" w:name="_Toc28359"/>
      <w:r>
        <w:t>工程变更、工程索赔和工程签证审核</w:t>
      </w:r>
      <w:r>
        <w:rPr>
          <w:rFonts w:ascii="Cambria" w:eastAsia="Cambria" w:hAnsi="Cambria" w:cs="Cambria"/>
          <w:b/>
        </w:rPr>
        <w:t xml:space="preserve"> </w:t>
      </w:r>
      <w:bookmarkEnd w:id="25"/>
    </w:p>
    <w:p w:rsidR="00B875DD" w:rsidRDefault="006C48F3">
      <w:pPr>
        <w:spacing w:line="410" w:lineRule="auto"/>
        <w:ind w:left="6" w:right="0"/>
      </w:pPr>
      <w:r>
        <w:t>7.5.1  工程造价咨询企业接受委托方要求，应按施工合同约定对工程变更、工程索赔和工程签证进行审核。</w:t>
      </w:r>
      <w:r>
        <w:rPr>
          <w:color w:val="FFFFFF"/>
        </w:rPr>
        <w:t>冯泽军藏书</w:t>
      </w:r>
      <w:r>
        <w:t xml:space="preserve"> </w:t>
      </w:r>
    </w:p>
    <w:p w:rsidR="00B875DD" w:rsidRDefault="006C48F3">
      <w:pPr>
        <w:spacing w:line="410" w:lineRule="auto"/>
        <w:ind w:left="6" w:right="0"/>
      </w:pPr>
      <w:r>
        <w:t>7.5.2 承担工程变更、工程签证咨询业务的工程造价咨询企业，应在工程变更、工程签证确认前，对工程变更、工程签证可能引起的费用变化提出建议，并应根据施工合同的约定，对有效的工程变更和工程签证进行审核，计算工程变更、工程签证引起的费用变化，计入当期</w:t>
      </w:r>
    </w:p>
    <w:p w:rsidR="00B875DD" w:rsidRDefault="006C48F3">
      <w:pPr>
        <w:spacing w:line="410" w:lineRule="auto"/>
        <w:ind w:left="6" w:right="0"/>
      </w:pPr>
      <w:r>
        <w:t xml:space="preserve">工程造价。工程造价咨询企业对工程变更、工程签证等认为签署不明或有疑义时，可要求施工单位与建设单位或监理单位进行澄清。 </w:t>
      </w:r>
    </w:p>
    <w:p w:rsidR="00B875DD" w:rsidRDefault="006C48F3">
      <w:pPr>
        <w:spacing w:line="410" w:lineRule="auto"/>
        <w:ind w:left="6" w:right="0"/>
      </w:pPr>
      <w:r>
        <w:t>7.5.3  工程造价咨询企业收到工程索赔费用申请报告后，应在施工合同约定的时间内予以审核，并应出具工程索赔费用审核报告，或要求申请人进一步补充索赔理由和依据。</w:t>
      </w:r>
      <w:r>
        <w:rPr>
          <w:color w:val="FFFFFF"/>
        </w:rPr>
        <w:t>冯泽军藏书</w:t>
      </w:r>
      <w:r>
        <w:t xml:space="preserve"> </w:t>
      </w:r>
    </w:p>
    <w:p w:rsidR="00B875DD" w:rsidRDefault="006C48F3">
      <w:pPr>
        <w:spacing w:line="410" w:lineRule="auto"/>
        <w:ind w:left="6" w:right="0"/>
      </w:pPr>
      <w:r>
        <w:t xml:space="preserve">7.5.4  工程造价咨询企业对工程变更和工程签证的审核应包括下列内容： </w:t>
      </w:r>
    </w:p>
    <w:p w:rsidR="00B875DD" w:rsidRDefault="006C48F3">
      <w:pPr>
        <w:numPr>
          <w:ilvl w:val="0"/>
          <w:numId w:val="24"/>
        </w:numPr>
        <w:spacing w:after="222"/>
        <w:ind w:right="0" w:hanging="281"/>
      </w:pPr>
      <w:r>
        <w:t xml:space="preserve">变更或签证的必要性、合理性； </w:t>
      </w:r>
    </w:p>
    <w:p w:rsidR="00B875DD" w:rsidRDefault="006C48F3">
      <w:pPr>
        <w:numPr>
          <w:ilvl w:val="0"/>
          <w:numId w:val="24"/>
        </w:numPr>
        <w:spacing w:after="222"/>
        <w:ind w:right="0" w:hanging="281"/>
      </w:pPr>
      <w:r>
        <w:t xml:space="preserve">变更或签证方案的合法性、合规性、有效性； </w:t>
      </w:r>
    </w:p>
    <w:p w:rsidR="00B875DD" w:rsidRDefault="006C48F3">
      <w:pPr>
        <w:numPr>
          <w:ilvl w:val="0"/>
          <w:numId w:val="24"/>
        </w:numPr>
        <w:spacing w:after="222"/>
        <w:ind w:right="0" w:hanging="281"/>
      </w:pPr>
      <w:r>
        <w:t xml:space="preserve">变更或签证方案的可行性、经济性。 </w:t>
      </w:r>
    </w:p>
    <w:p w:rsidR="00B875DD" w:rsidRDefault="006C48F3">
      <w:pPr>
        <w:spacing w:after="222"/>
        <w:ind w:left="6" w:right="0"/>
      </w:pPr>
      <w:r>
        <w:t xml:space="preserve">7.5.5  工程造价咨询企业对工程索赔费用的审核应包括下列内容： </w:t>
      </w:r>
    </w:p>
    <w:p w:rsidR="00B875DD" w:rsidRDefault="006C48F3">
      <w:pPr>
        <w:numPr>
          <w:ilvl w:val="0"/>
          <w:numId w:val="25"/>
        </w:numPr>
        <w:spacing w:after="222"/>
        <w:ind w:right="0" w:hanging="281"/>
      </w:pPr>
      <w:r>
        <w:t xml:space="preserve">索赔事项的时效性、程序的有效性和相关手续的完整性； </w:t>
      </w:r>
    </w:p>
    <w:p w:rsidR="00B875DD" w:rsidRDefault="006C48F3">
      <w:pPr>
        <w:numPr>
          <w:ilvl w:val="0"/>
          <w:numId w:val="25"/>
        </w:numPr>
        <w:ind w:right="0" w:hanging="281"/>
      </w:pPr>
      <w:r>
        <w:lastRenderedPageBreak/>
        <w:t xml:space="preserve">索赔理由的真实性和正当性； </w:t>
      </w:r>
    </w:p>
    <w:p w:rsidR="00B875DD" w:rsidRDefault="006C48F3">
      <w:pPr>
        <w:numPr>
          <w:ilvl w:val="0"/>
          <w:numId w:val="25"/>
        </w:numPr>
        <w:spacing w:after="222"/>
        <w:ind w:right="0" w:hanging="281"/>
      </w:pPr>
      <w:r>
        <w:t xml:space="preserve">索赔资料的全面性和完整性； </w:t>
      </w:r>
    </w:p>
    <w:p w:rsidR="00B875DD" w:rsidRDefault="006C48F3">
      <w:pPr>
        <w:numPr>
          <w:ilvl w:val="0"/>
          <w:numId w:val="25"/>
        </w:numPr>
        <w:spacing w:after="222"/>
        <w:ind w:right="0" w:hanging="281"/>
      </w:pPr>
      <w:r>
        <w:t xml:space="preserve">索赔依据的关联性； </w:t>
      </w:r>
    </w:p>
    <w:p w:rsidR="00B875DD" w:rsidRDefault="006C48F3">
      <w:pPr>
        <w:numPr>
          <w:ilvl w:val="0"/>
          <w:numId w:val="25"/>
        </w:numPr>
        <w:spacing w:after="222"/>
        <w:ind w:right="0" w:hanging="281"/>
      </w:pPr>
      <w:r>
        <w:t xml:space="preserve">索赔工期和索赔费用计算的准确性。 </w:t>
      </w:r>
    </w:p>
    <w:p w:rsidR="00B875DD" w:rsidRDefault="006C48F3">
      <w:pPr>
        <w:spacing w:line="410" w:lineRule="auto"/>
        <w:ind w:left="6" w:right="0"/>
      </w:pPr>
      <w:r>
        <w:t xml:space="preserve">7.5.6  工程造价咨询企业审核工程索赔费用后，应在签证单上签署意见或出具报告，应包括下列内容： </w:t>
      </w:r>
    </w:p>
    <w:p w:rsidR="00B875DD" w:rsidRDefault="006C48F3">
      <w:pPr>
        <w:numPr>
          <w:ilvl w:val="1"/>
          <w:numId w:val="25"/>
        </w:numPr>
        <w:spacing w:after="222"/>
        <w:ind w:right="0" w:hanging="281"/>
      </w:pPr>
      <w:r>
        <w:t xml:space="preserve">索赔事项和要求； </w:t>
      </w:r>
    </w:p>
    <w:p w:rsidR="00B875DD" w:rsidRDefault="006C48F3">
      <w:pPr>
        <w:numPr>
          <w:ilvl w:val="1"/>
          <w:numId w:val="25"/>
        </w:numPr>
        <w:spacing w:after="222"/>
        <w:ind w:right="0" w:hanging="281"/>
      </w:pPr>
      <w:r>
        <w:t xml:space="preserve">审核范围和依据 </w:t>
      </w:r>
    </w:p>
    <w:p w:rsidR="00B875DD" w:rsidRDefault="006C48F3">
      <w:pPr>
        <w:numPr>
          <w:ilvl w:val="1"/>
          <w:numId w:val="25"/>
        </w:numPr>
        <w:spacing w:after="222"/>
        <w:ind w:right="0" w:hanging="281"/>
      </w:pPr>
      <w:r>
        <w:t xml:space="preserve">审核引证的相关合同条款； </w:t>
      </w:r>
    </w:p>
    <w:p w:rsidR="00B875DD" w:rsidRDefault="006C48F3">
      <w:pPr>
        <w:numPr>
          <w:ilvl w:val="1"/>
          <w:numId w:val="25"/>
        </w:numPr>
        <w:spacing w:after="222"/>
        <w:ind w:right="0" w:hanging="281"/>
      </w:pPr>
      <w:r>
        <w:t xml:space="preserve">索赔费用审核计算方法； </w:t>
      </w:r>
    </w:p>
    <w:p w:rsidR="00B875DD" w:rsidRDefault="006C48F3">
      <w:pPr>
        <w:numPr>
          <w:ilvl w:val="1"/>
          <w:numId w:val="25"/>
        </w:numPr>
        <w:ind w:right="0" w:hanging="281"/>
      </w:pPr>
      <w:r>
        <w:t xml:space="preserve">索赔费用审核计算细目。 </w:t>
      </w:r>
      <w:r>
        <w:br w:type="page"/>
      </w:r>
    </w:p>
    <w:p w:rsidR="00B875DD" w:rsidRDefault="006C48F3">
      <w:pPr>
        <w:spacing w:after="495" w:line="259" w:lineRule="auto"/>
        <w:ind w:left="988" w:right="0" w:firstLine="0"/>
      </w:pPr>
      <w:r>
        <w:lastRenderedPageBreak/>
        <w:t xml:space="preserve"> </w:t>
      </w:r>
    </w:p>
    <w:p w:rsidR="00B875DD" w:rsidRDefault="006C48F3">
      <w:pPr>
        <w:pStyle w:val="2"/>
        <w:ind w:left="466" w:right="143" w:hanging="466"/>
      </w:pPr>
      <w:bookmarkStart w:id="26" w:name="_Toc28360"/>
      <w:r>
        <w:t>工程造价动态管理</w:t>
      </w:r>
      <w:r>
        <w:rPr>
          <w:rFonts w:ascii="Cambria" w:eastAsia="Cambria" w:hAnsi="Cambria" w:cs="Cambria"/>
          <w:b/>
        </w:rPr>
        <w:t xml:space="preserve"> </w:t>
      </w:r>
      <w:bookmarkEnd w:id="26"/>
    </w:p>
    <w:p w:rsidR="00B875DD" w:rsidRDefault="006C48F3">
      <w:pPr>
        <w:spacing w:line="410" w:lineRule="auto"/>
        <w:ind w:left="6" w:right="0"/>
      </w:pPr>
      <w:r>
        <w:t xml:space="preserve">7.6.1  工程造价咨询企业可接受委托，进行项目施工阶段的工程造价动态管理，并应提交动态管理咨询报告。 </w:t>
      </w:r>
    </w:p>
    <w:p w:rsidR="00B875DD" w:rsidRDefault="006C48F3">
      <w:pPr>
        <w:spacing w:after="222"/>
        <w:ind w:left="6" w:right="0"/>
      </w:pPr>
      <w:r>
        <w:t xml:space="preserve">7.6.2  工程造价动态管理报告宜包括下列内容： </w:t>
      </w:r>
    </w:p>
    <w:p w:rsidR="00B875DD" w:rsidRDefault="006C48F3">
      <w:pPr>
        <w:numPr>
          <w:ilvl w:val="0"/>
          <w:numId w:val="26"/>
        </w:numPr>
        <w:spacing w:after="222"/>
        <w:ind w:right="0" w:firstLine="559"/>
      </w:pPr>
      <w:r>
        <w:t>项目批准概算金额；</w:t>
      </w:r>
      <w:r>
        <w:rPr>
          <w:color w:val="FFFFFF"/>
        </w:rPr>
        <w:t>冯泽军藏书</w:t>
      </w:r>
      <w:r>
        <w:t xml:space="preserve"> </w:t>
      </w:r>
    </w:p>
    <w:p w:rsidR="00B875DD" w:rsidRDefault="006C48F3">
      <w:pPr>
        <w:numPr>
          <w:ilvl w:val="0"/>
          <w:numId w:val="26"/>
        </w:numPr>
        <w:spacing w:after="222"/>
        <w:ind w:right="0" w:firstLine="559"/>
      </w:pPr>
      <w:r>
        <w:t xml:space="preserve">投资控制目标值； </w:t>
      </w:r>
    </w:p>
    <w:p w:rsidR="00B875DD" w:rsidRDefault="006C48F3">
      <w:pPr>
        <w:numPr>
          <w:ilvl w:val="0"/>
          <w:numId w:val="26"/>
        </w:numPr>
        <w:spacing w:after="222"/>
        <w:ind w:right="0" w:firstLine="559"/>
      </w:pPr>
      <w:r>
        <w:t xml:space="preserve">拟分包合同执行情况及预估合同价款； </w:t>
      </w:r>
    </w:p>
    <w:p w:rsidR="00B875DD" w:rsidRDefault="006C48F3">
      <w:pPr>
        <w:numPr>
          <w:ilvl w:val="0"/>
          <w:numId w:val="26"/>
        </w:numPr>
        <w:spacing w:after="222"/>
        <w:ind w:right="0" w:firstLine="559"/>
      </w:pPr>
      <w:r>
        <w:t xml:space="preserve">已签合同名称、编号和签约价款； </w:t>
      </w:r>
    </w:p>
    <w:p w:rsidR="00B875DD" w:rsidRDefault="006C48F3">
      <w:pPr>
        <w:numPr>
          <w:ilvl w:val="0"/>
          <w:numId w:val="26"/>
        </w:numPr>
        <w:spacing w:after="222"/>
        <w:ind w:right="0" w:firstLine="559"/>
      </w:pPr>
      <w:r>
        <w:t xml:space="preserve">已确定的待签合同及其价款； </w:t>
      </w:r>
    </w:p>
    <w:p w:rsidR="00B875DD" w:rsidRDefault="006C48F3">
      <w:pPr>
        <w:numPr>
          <w:ilvl w:val="0"/>
          <w:numId w:val="26"/>
        </w:numPr>
        <w:spacing w:after="222"/>
        <w:ind w:right="0" w:firstLine="559"/>
      </w:pPr>
      <w:r>
        <w:t xml:space="preserve">本周期前累计已发生的工程变更和工程签证费用； </w:t>
      </w:r>
    </w:p>
    <w:p w:rsidR="00B875DD" w:rsidRDefault="006C48F3">
      <w:pPr>
        <w:numPr>
          <w:ilvl w:val="0"/>
          <w:numId w:val="26"/>
        </w:numPr>
        <w:spacing w:after="222"/>
        <w:ind w:right="0" w:firstLine="559"/>
      </w:pPr>
      <w:r>
        <w:t xml:space="preserve">本周期前累计已实际支付的工程价款及占合同总价款比例； </w:t>
      </w:r>
    </w:p>
    <w:p w:rsidR="00B875DD" w:rsidRDefault="006C48F3">
      <w:pPr>
        <w:numPr>
          <w:ilvl w:val="0"/>
          <w:numId w:val="26"/>
        </w:numPr>
        <w:spacing w:line="410" w:lineRule="auto"/>
        <w:ind w:right="0" w:firstLine="559"/>
      </w:pPr>
      <w:r>
        <w:t>本周期前累计工程造价与批准概算（或投资控制目标值）的差值；</w:t>
      </w:r>
      <w:r>
        <w:rPr>
          <w:color w:val="FFFFFF"/>
        </w:rPr>
        <w:t>冯泽军藏书</w:t>
      </w:r>
      <w:r>
        <w:t xml:space="preserve"> </w:t>
      </w:r>
    </w:p>
    <w:p w:rsidR="00B875DD" w:rsidRDefault="006C48F3">
      <w:pPr>
        <w:numPr>
          <w:ilvl w:val="0"/>
          <w:numId w:val="26"/>
        </w:numPr>
        <w:spacing w:after="222"/>
        <w:ind w:right="0" w:firstLine="559"/>
      </w:pPr>
      <w:r>
        <w:t xml:space="preserve">主要偏差情况及产生较大或重大偏差的原因分析； </w:t>
      </w:r>
    </w:p>
    <w:p w:rsidR="00B875DD" w:rsidRDefault="006C48F3">
      <w:pPr>
        <w:numPr>
          <w:ilvl w:val="0"/>
          <w:numId w:val="26"/>
        </w:numPr>
        <w:spacing w:after="222"/>
        <w:ind w:right="0" w:firstLine="559"/>
      </w:pPr>
      <w:r>
        <w:t xml:space="preserve">必要的说明、意见和建议等。 </w:t>
      </w:r>
    </w:p>
    <w:p w:rsidR="00B875DD" w:rsidRDefault="006C48F3">
      <w:pPr>
        <w:spacing w:after="222"/>
        <w:ind w:left="6" w:right="0"/>
      </w:pPr>
      <w:r>
        <w:t>7.6.3  工程造价咨询企业应与项目各参与方进行联系与沟通，并应动</w:t>
      </w:r>
    </w:p>
    <w:p w:rsidR="00B875DD" w:rsidRDefault="006C48F3">
      <w:pPr>
        <w:spacing w:after="222"/>
        <w:ind w:left="6" w:right="0"/>
      </w:pPr>
      <w:r>
        <w:t>态掌握影响项目工程造价变化的信息情况。对于可能发生的重大工程</w:t>
      </w:r>
    </w:p>
    <w:p w:rsidR="00B875DD" w:rsidRDefault="006C48F3">
      <w:pPr>
        <w:spacing w:line="410" w:lineRule="auto"/>
        <w:ind w:left="6" w:right="0"/>
      </w:pPr>
      <w:r>
        <w:t xml:space="preserve">变更应及时做出对工程造价影响的预测，并应将可能导致工程造价发生重大变化的情况及时告知委托人。 </w:t>
      </w:r>
    </w:p>
    <w:p w:rsidR="00B875DD" w:rsidRDefault="006C48F3">
      <w:pPr>
        <w:spacing w:after="0" w:line="259" w:lineRule="auto"/>
        <w:ind w:left="525" w:right="0" w:firstLine="0"/>
      </w:pPr>
      <w:r>
        <w:lastRenderedPageBreak/>
        <w:t xml:space="preserve"> </w:t>
      </w:r>
    </w:p>
    <w:p w:rsidR="00B875DD" w:rsidRDefault="006C48F3">
      <w:pPr>
        <w:spacing w:after="0" w:line="259" w:lineRule="auto"/>
        <w:ind w:left="0" w:right="0" w:firstLine="0"/>
      </w:pPr>
      <w:r>
        <w:br w:type="page"/>
      </w:r>
    </w:p>
    <w:p w:rsidR="00B875DD" w:rsidRDefault="006C48F3">
      <w:pPr>
        <w:spacing w:after="739" w:line="259" w:lineRule="auto"/>
        <w:ind w:left="0" w:right="0" w:firstLine="0"/>
        <w:jc w:val="center"/>
      </w:pPr>
      <w:r>
        <w:lastRenderedPageBreak/>
        <w:t xml:space="preserve"> </w:t>
      </w:r>
    </w:p>
    <w:p w:rsidR="00B875DD" w:rsidRDefault="006C48F3">
      <w:pPr>
        <w:pStyle w:val="1"/>
        <w:spacing w:after="408"/>
        <w:ind w:left="441" w:right="143" w:hanging="441"/>
      </w:pPr>
      <w:bookmarkStart w:id="27" w:name="_Toc28361"/>
      <w:r>
        <w:t>竣工阶段</w:t>
      </w:r>
      <w:r>
        <w:rPr>
          <w:rFonts w:ascii="Times New Roman" w:eastAsia="Times New Roman" w:hAnsi="Times New Roman" w:cs="Times New Roman"/>
          <w:b/>
        </w:rPr>
        <w:t xml:space="preserve"> </w:t>
      </w:r>
      <w:bookmarkEnd w:id="27"/>
    </w:p>
    <w:p w:rsidR="00B875DD" w:rsidRDefault="006C48F3">
      <w:pPr>
        <w:pStyle w:val="2"/>
        <w:ind w:left="535" w:right="140" w:hanging="535"/>
      </w:pPr>
      <w:bookmarkStart w:id="28" w:name="_Toc28362"/>
      <w:r>
        <w:t>一般规定</w:t>
      </w:r>
      <w:r>
        <w:rPr>
          <w:rFonts w:ascii="Cambria" w:eastAsia="Cambria" w:hAnsi="Cambria" w:cs="Cambria"/>
          <w:b/>
        </w:rPr>
        <w:t xml:space="preserve"> </w:t>
      </w:r>
      <w:bookmarkEnd w:id="28"/>
    </w:p>
    <w:p w:rsidR="00B875DD" w:rsidRDefault="006C48F3">
      <w:pPr>
        <w:spacing w:after="222"/>
        <w:ind w:left="6" w:right="0"/>
      </w:pPr>
      <w:r>
        <w:t xml:space="preserve">8.1.1 工程造价咨询企业在竣工阶段可接受委托承担下列工作： </w:t>
      </w:r>
    </w:p>
    <w:p w:rsidR="00B875DD" w:rsidRDefault="006C48F3">
      <w:pPr>
        <w:spacing w:after="222"/>
        <w:ind w:left="1141" w:right="0"/>
      </w:pPr>
      <w:r>
        <w:t xml:space="preserve">1 竣工结算的编制与审核； </w:t>
      </w:r>
    </w:p>
    <w:p w:rsidR="00B875DD" w:rsidRDefault="006C48F3">
      <w:pPr>
        <w:spacing w:after="222"/>
        <w:ind w:left="1141" w:right="0"/>
      </w:pPr>
      <w:r>
        <w:t xml:space="preserve">2竣工决算的编制与审核。 </w:t>
      </w:r>
    </w:p>
    <w:p w:rsidR="00B875DD" w:rsidRDefault="006C48F3">
      <w:pPr>
        <w:spacing w:line="410" w:lineRule="auto"/>
        <w:ind w:left="6" w:right="0"/>
      </w:pPr>
      <w:r>
        <w:t xml:space="preserve">8.1.2  编制与审核竣工结算时，应按施工合同约定的工程价款的确定方式、方法、调整等内容，当合同中没有约定或约定不明确的，应按合同约定的计价原则以及相应工程造价管理机构发布的工程计价依据、相关规定等进行竣工结算。 </w:t>
      </w:r>
    </w:p>
    <w:p w:rsidR="00B875DD" w:rsidRDefault="006C48F3">
      <w:pPr>
        <w:spacing w:after="496" w:line="259" w:lineRule="auto"/>
        <w:ind w:left="4" w:right="0" w:firstLine="0"/>
      </w:pPr>
      <w:r>
        <w:t xml:space="preserve"> </w:t>
      </w:r>
    </w:p>
    <w:p w:rsidR="00B875DD" w:rsidRDefault="006C48F3">
      <w:pPr>
        <w:pStyle w:val="2"/>
        <w:ind w:left="535" w:right="143" w:hanging="535"/>
      </w:pPr>
      <w:bookmarkStart w:id="29" w:name="_Toc28363"/>
      <w:r>
        <w:t>竣工结算编制</w:t>
      </w:r>
      <w:r>
        <w:rPr>
          <w:rFonts w:ascii="Cambria" w:eastAsia="Cambria" w:hAnsi="Cambria" w:cs="Cambria"/>
          <w:b/>
        </w:rPr>
        <w:t xml:space="preserve"> </w:t>
      </w:r>
      <w:bookmarkEnd w:id="29"/>
    </w:p>
    <w:p w:rsidR="00B875DD" w:rsidRDefault="006C48F3">
      <w:pPr>
        <w:spacing w:line="410" w:lineRule="auto"/>
        <w:ind w:left="6" w:right="0"/>
      </w:pPr>
      <w:r>
        <w:t xml:space="preserve">8.2.1 竣工结算按委托内容可分为建设项目竣工结算、单项工程竣工结算及单位工程竣工结算。 </w:t>
      </w:r>
    </w:p>
    <w:p w:rsidR="00B875DD" w:rsidRDefault="006C48F3">
      <w:pPr>
        <w:spacing w:after="222"/>
        <w:ind w:left="6" w:right="0"/>
      </w:pPr>
      <w:r>
        <w:t>8.2.2 竣工结算文件应包括：封面、签署页、目录、编制说明、竣工</w:t>
      </w:r>
    </w:p>
    <w:p w:rsidR="00B875DD" w:rsidRDefault="006C48F3">
      <w:pPr>
        <w:spacing w:line="410" w:lineRule="auto"/>
        <w:ind w:left="6" w:right="0"/>
      </w:pPr>
      <w:r>
        <w:t xml:space="preserve">结算汇总表、单项工程结算汇总表、单位工程竣工结算汇总表等，采用工程量清单计价的竣工结算成果文件可按本规范附录F编制。 </w:t>
      </w:r>
    </w:p>
    <w:p w:rsidR="00B875DD" w:rsidRDefault="006C48F3">
      <w:pPr>
        <w:spacing w:after="229" w:line="410" w:lineRule="auto"/>
        <w:ind w:left="6" w:right="0"/>
      </w:pPr>
      <w:r>
        <w:lastRenderedPageBreak/>
        <w:t xml:space="preserve">8.2.3 竣工结算编制说明应包括工程概况、编制范围、编制依据、编制方法，工程计量、计价及人工、材料、设备等的价格和费率取定的说明，及应予说明的其他事项。 </w:t>
      </w:r>
    </w:p>
    <w:p w:rsidR="00B875DD" w:rsidRDefault="006C48F3">
      <w:pPr>
        <w:spacing w:after="271"/>
        <w:ind w:left="6" w:right="0"/>
      </w:pPr>
      <w:r>
        <w:t xml:space="preserve">8.2.4  竣工结算编制依据应包括下列内容： </w:t>
      </w:r>
    </w:p>
    <w:p w:rsidR="00B875DD" w:rsidRDefault="006C48F3">
      <w:pPr>
        <w:numPr>
          <w:ilvl w:val="0"/>
          <w:numId w:val="27"/>
        </w:numPr>
        <w:spacing w:after="319"/>
        <w:ind w:right="0" w:firstLine="427"/>
      </w:pPr>
      <w:r>
        <w:t xml:space="preserve">影响合同价款的法律、法规和规范性文件； </w:t>
      </w:r>
    </w:p>
    <w:p w:rsidR="00B875DD" w:rsidRDefault="006C48F3">
      <w:pPr>
        <w:numPr>
          <w:ilvl w:val="0"/>
          <w:numId w:val="27"/>
        </w:numPr>
        <w:spacing w:after="320"/>
        <w:ind w:right="0" w:firstLine="427"/>
      </w:pPr>
      <w:r>
        <w:t xml:space="preserve">现场踏勘复验记录； </w:t>
      </w:r>
    </w:p>
    <w:p w:rsidR="00B875DD" w:rsidRDefault="006C48F3">
      <w:pPr>
        <w:numPr>
          <w:ilvl w:val="0"/>
          <w:numId w:val="27"/>
        </w:numPr>
        <w:spacing w:after="321"/>
        <w:ind w:right="0" w:firstLine="427"/>
      </w:pPr>
      <w:r>
        <w:t xml:space="preserve">施工合同、专业分包合同及补充合同，有关材料、设备采购合同；  </w:t>
      </w:r>
    </w:p>
    <w:p w:rsidR="00B875DD" w:rsidRDefault="006C48F3">
      <w:pPr>
        <w:numPr>
          <w:ilvl w:val="0"/>
          <w:numId w:val="27"/>
        </w:numPr>
        <w:spacing w:after="319"/>
        <w:ind w:right="0" w:firstLine="427"/>
      </w:pPr>
      <w:r>
        <w:t xml:space="preserve">相关工程造价管理机构发布的计价依据； </w:t>
      </w:r>
    </w:p>
    <w:p w:rsidR="00B875DD" w:rsidRDefault="006C48F3">
      <w:pPr>
        <w:numPr>
          <w:ilvl w:val="0"/>
          <w:numId w:val="27"/>
        </w:numPr>
        <w:spacing w:after="320"/>
        <w:ind w:right="0" w:firstLine="427"/>
      </w:pPr>
      <w:r>
        <w:t xml:space="preserve">招标文件、投标文件； </w:t>
      </w:r>
    </w:p>
    <w:p w:rsidR="00B875DD" w:rsidRDefault="006C48F3">
      <w:pPr>
        <w:numPr>
          <w:ilvl w:val="0"/>
          <w:numId w:val="27"/>
        </w:numPr>
        <w:spacing w:line="443" w:lineRule="auto"/>
        <w:ind w:right="0" w:firstLine="427"/>
      </w:pPr>
      <w:r>
        <w:t xml:space="preserve">工程施工图、经批准的施工组织设计、设计变更、工程洽商、工程索赔与工程签证，相关会议纪要等； </w:t>
      </w:r>
    </w:p>
    <w:p w:rsidR="00B875DD" w:rsidRDefault="006C48F3">
      <w:pPr>
        <w:numPr>
          <w:ilvl w:val="0"/>
          <w:numId w:val="27"/>
        </w:numPr>
        <w:spacing w:after="320"/>
        <w:ind w:right="0" w:firstLine="427"/>
      </w:pPr>
      <w:r>
        <w:t xml:space="preserve">工程材料及设备认价单； </w:t>
      </w:r>
    </w:p>
    <w:p w:rsidR="00B875DD" w:rsidRDefault="006C48F3">
      <w:pPr>
        <w:numPr>
          <w:ilvl w:val="0"/>
          <w:numId w:val="27"/>
        </w:numPr>
        <w:spacing w:after="321"/>
        <w:ind w:right="0" w:firstLine="427"/>
      </w:pPr>
      <w:r>
        <w:t xml:space="preserve">发承包双方确认追加或核减的合同价款； </w:t>
      </w:r>
    </w:p>
    <w:p w:rsidR="00B875DD" w:rsidRDefault="006C48F3">
      <w:pPr>
        <w:numPr>
          <w:ilvl w:val="0"/>
          <w:numId w:val="27"/>
        </w:numPr>
        <w:spacing w:after="320"/>
        <w:ind w:right="0" w:firstLine="427"/>
      </w:pPr>
      <w:r>
        <w:t xml:space="preserve">经批准的开工、竣工报告或停工、复工报告； </w:t>
      </w:r>
    </w:p>
    <w:p w:rsidR="00B875DD" w:rsidRDefault="006C48F3">
      <w:pPr>
        <w:numPr>
          <w:ilvl w:val="0"/>
          <w:numId w:val="27"/>
        </w:numPr>
        <w:spacing w:after="266"/>
        <w:ind w:right="0" w:firstLine="427"/>
      </w:pPr>
      <w:r>
        <w:t xml:space="preserve">影响合同价款的其他相关资料。 </w:t>
      </w:r>
    </w:p>
    <w:p w:rsidR="00B875DD" w:rsidRDefault="006C48F3">
      <w:pPr>
        <w:spacing w:after="49" w:line="410" w:lineRule="auto"/>
        <w:ind w:left="6" w:right="0"/>
      </w:pPr>
      <w:r>
        <w:t xml:space="preserve">8.2.5竣工结算应按施工合同类型采用相应的编制方法，并应符合下列规定： </w:t>
      </w:r>
    </w:p>
    <w:p w:rsidR="00B875DD" w:rsidRDefault="006C48F3">
      <w:pPr>
        <w:numPr>
          <w:ilvl w:val="0"/>
          <w:numId w:val="28"/>
        </w:numPr>
        <w:spacing w:line="443" w:lineRule="auto"/>
        <w:ind w:right="0" w:firstLine="427"/>
      </w:pPr>
      <w:r>
        <w:t xml:space="preserve">采用总价合同的，应在合同价基础上，对合同约定能调整的内容及超过合同约定范围的风险因素进行调整。 </w:t>
      </w:r>
    </w:p>
    <w:p w:rsidR="00B875DD" w:rsidRDefault="006C48F3">
      <w:pPr>
        <w:numPr>
          <w:ilvl w:val="0"/>
          <w:numId w:val="28"/>
        </w:numPr>
        <w:spacing w:after="273"/>
        <w:ind w:right="0" w:firstLine="427"/>
      </w:pPr>
      <w:r>
        <w:lastRenderedPageBreak/>
        <w:t>采用单价合同的，在合同约定风险范围内的综合单价应固定不</w:t>
      </w:r>
    </w:p>
    <w:p w:rsidR="00B875DD" w:rsidRDefault="006C48F3">
      <w:pPr>
        <w:spacing w:after="272"/>
        <w:ind w:left="6" w:right="0"/>
      </w:pPr>
      <w:r>
        <w:t xml:space="preserve">变，并应按合同约定进行计量，且应按实际完成的工程量进行计量。 </w:t>
      </w:r>
    </w:p>
    <w:p w:rsidR="00B875DD" w:rsidRDefault="006C48F3">
      <w:pPr>
        <w:numPr>
          <w:ilvl w:val="0"/>
          <w:numId w:val="28"/>
        </w:numPr>
        <w:spacing w:after="273"/>
        <w:ind w:right="0" w:firstLine="427"/>
      </w:pPr>
      <w:r>
        <w:t>采用成本加酬金合同的，应合同约定的方法，计算工程成本、酬</w:t>
      </w:r>
    </w:p>
    <w:p w:rsidR="00B875DD" w:rsidRDefault="006C48F3">
      <w:pPr>
        <w:ind w:left="6" w:right="0"/>
      </w:pPr>
      <w:r>
        <w:t xml:space="preserve">金及有关税费。 </w:t>
      </w:r>
    </w:p>
    <w:p w:rsidR="00B875DD" w:rsidRDefault="006C48F3">
      <w:pPr>
        <w:pStyle w:val="2"/>
        <w:ind w:left="535" w:right="143" w:hanging="535"/>
      </w:pPr>
      <w:bookmarkStart w:id="30" w:name="_Toc28364"/>
      <w:r>
        <w:t>竣工结算审核</w:t>
      </w:r>
      <w:r>
        <w:rPr>
          <w:rFonts w:ascii="Cambria" w:eastAsia="Cambria" w:hAnsi="Cambria" w:cs="Cambria"/>
          <w:b/>
        </w:rPr>
        <w:t xml:space="preserve"> </w:t>
      </w:r>
      <w:bookmarkEnd w:id="30"/>
    </w:p>
    <w:p w:rsidR="00B875DD" w:rsidRDefault="006C48F3">
      <w:pPr>
        <w:spacing w:after="222"/>
        <w:ind w:left="6" w:right="0"/>
      </w:pPr>
      <w:r>
        <w:t>8.3.1 竣工结算审核的成果文件应包括竣工结算审核书封面、签署页、</w:t>
      </w:r>
    </w:p>
    <w:p w:rsidR="00B875DD" w:rsidRDefault="006C48F3">
      <w:pPr>
        <w:spacing w:line="410" w:lineRule="auto"/>
        <w:ind w:left="6" w:right="0"/>
      </w:pPr>
      <w:r>
        <w:t xml:space="preserve">竣工结算审核报告、竣工结算审定签署表、竣工结算审核汇总对比表、单项工程竣工结算审核汇总对比表、单位工程竣工结算审核汇总对比表等，采用工程量清单计价的竣工结算审核成果文件可按本规范附录G 编制。 </w:t>
      </w:r>
    </w:p>
    <w:p w:rsidR="00B875DD" w:rsidRDefault="006C48F3">
      <w:pPr>
        <w:spacing w:after="222"/>
        <w:ind w:left="6" w:right="0"/>
      </w:pPr>
      <w:r>
        <w:t>8.3.2 竣工结算审核报告应包括工程概况、审核范围、审核原则、审</w:t>
      </w:r>
    </w:p>
    <w:p w:rsidR="00B875DD" w:rsidRDefault="006C48F3">
      <w:pPr>
        <w:spacing w:line="410" w:lineRule="auto"/>
        <w:ind w:left="6" w:right="0"/>
      </w:pPr>
      <w:r>
        <w:t xml:space="preserve">核方法、审核依据、审核要求、审核程序、主要问题及处理情况、审核结果及有关建议等。 </w:t>
      </w:r>
    </w:p>
    <w:p w:rsidR="00B875DD" w:rsidRDefault="006C48F3">
      <w:pPr>
        <w:numPr>
          <w:ilvl w:val="0"/>
          <w:numId w:val="29"/>
        </w:numPr>
        <w:spacing w:after="272"/>
        <w:ind w:right="0" w:hanging="281"/>
      </w:pPr>
      <w:r>
        <w:t>3.3竣工结算审核工作应包括下列三个结算：</w:t>
      </w:r>
      <w:r>
        <w:rPr>
          <w:color w:val="FFFFFF"/>
        </w:rPr>
        <w:t>冯泽军藏书</w:t>
      </w:r>
      <w:r>
        <w:t xml:space="preserve"> </w:t>
      </w:r>
    </w:p>
    <w:p w:rsidR="00B875DD" w:rsidRDefault="006C48F3">
      <w:pPr>
        <w:numPr>
          <w:ilvl w:val="1"/>
          <w:numId w:val="29"/>
        </w:numPr>
        <w:spacing w:after="273"/>
        <w:ind w:right="0" w:hanging="281"/>
      </w:pPr>
      <w:r>
        <w:t>准备阶段应包括收集、整理竣工结算审核项目的审核依据资料，</w:t>
      </w:r>
    </w:p>
    <w:p w:rsidR="00B875DD" w:rsidRDefault="006C48F3">
      <w:pPr>
        <w:spacing w:after="49" w:line="410" w:lineRule="auto"/>
        <w:ind w:left="6" w:right="0"/>
      </w:pPr>
      <w:r>
        <w:t xml:space="preserve">做好送审资料的交验、核实、签收工作，并应对资料等缺陷向委托方提出书面意见及要求。 </w:t>
      </w:r>
    </w:p>
    <w:p w:rsidR="00B875DD" w:rsidRDefault="006C48F3">
      <w:pPr>
        <w:numPr>
          <w:ilvl w:val="1"/>
          <w:numId w:val="29"/>
        </w:numPr>
        <w:spacing w:after="273"/>
        <w:ind w:right="0" w:hanging="281"/>
      </w:pPr>
      <w:r>
        <w:t>审核阶段应包括现场踏勘核实，召开审核会议，澄清问题，提出</w:t>
      </w:r>
    </w:p>
    <w:p w:rsidR="00B875DD" w:rsidRDefault="006C48F3">
      <w:pPr>
        <w:spacing w:after="49" w:line="410" w:lineRule="auto"/>
        <w:ind w:left="6" w:right="0"/>
      </w:pPr>
      <w:r>
        <w:lastRenderedPageBreak/>
        <w:t xml:space="preserve">补充依据性资料和必要的弥补性措施，形成会商纪要，进行计量、计价审核与确定工作、完成初步审核报告等。 </w:t>
      </w:r>
    </w:p>
    <w:p w:rsidR="00B875DD" w:rsidRDefault="006C48F3">
      <w:pPr>
        <w:numPr>
          <w:ilvl w:val="1"/>
          <w:numId w:val="29"/>
        </w:numPr>
        <w:spacing w:after="273"/>
        <w:ind w:right="0" w:hanging="281"/>
      </w:pPr>
      <w:r>
        <w:t>审定阶段应包括就竣工结算审核意见与承包人及发包人进行沟</w:t>
      </w:r>
    </w:p>
    <w:p w:rsidR="00B875DD" w:rsidRDefault="006C48F3">
      <w:pPr>
        <w:spacing w:line="410" w:lineRule="auto"/>
        <w:ind w:left="6" w:right="0"/>
      </w:pPr>
      <w:r>
        <w:t xml:space="preserve">通，召开协调会议，处理分歧事项，形成竣工结算审核成果文件，签认竣工结算审定签署表，提交竣工结算审核报告等工作。 </w:t>
      </w:r>
    </w:p>
    <w:p w:rsidR="00B875DD" w:rsidRDefault="006C48F3">
      <w:pPr>
        <w:spacing w:after="271"/>
        <w:ind w:left="6" w:right="0"/>
      </w:pPr>
      <w:r>
        <w:t xml:space="preserve">8.3.4 竣工结算审核编制依据应包括下列内容： </w:t>
      </w:r>
    </w:p>
    <w:p w:rsidR="00B875DD" w:rsidRDefault="006C48F3">
      <w:pPr>
        <w:numPr>
          <w:ilvl w:val="1"/>
          <w:numId w:val="31"/>
        </w:numPr>
        <w:ind w:right="0" w:hanging="420"/>
      </w:pPr>
      <w:r>
        <w:t xml:space="preserve">影响合同价款的法律、法规和规范性文件； </w:t>
      </w:r>
    </w:p>
    <w:p w:rsidR="00B875DD" w:rsidRDefault="006C48F3">
      <w:pPr>
        <w:numPr>
          <w:ilvl w:val="1"/>
          <w:numId w:val="31"/>
        </w:numPr>
        <w:spacing w:after="318"/>
        <w:ind w:right="0" w:hanging="420"/>
      </w:pPr>
      <w:r>
        <w:t xml:space="preserve">竣工结算审核委托咨询合同； </w:t>
      </w:r>
    </w:p>
    <w:p w:rsidR="00B875DD" w:rsidRDefault="006C48F3">
      <w:pPr>
        <w:numPr>
          <w:ilvl w:val="1"/>
          <w:numId w:val="31"/>
        </w:numPr>
        <w:spacing w:after="317"/>
        <w:ind w:right="0" w:hanging="420"/>
      </w:pPr>
      <w:r>
        <w:t xml:space="preserve">竣工结算送审文件； </w:t>
      </w:r>
    </w:p>
    <w:p w:rsidR="00B875DD" w:rsidRDefault="006C48F3">
      <w:pPr>
        <w:numPr>
          <w:ilvl w:val="1"/>
          <w:numId w:val="31"/>
        </w:numPr>
        <w:spacing w:after="320"/>
        <w:ind w:right="0" w:hanging="420"/>
      </w:pPr>
      <w:r>
        <w:t xml:space="preserve">现场踏勘复验记录； </w:t>
      </w:r>
    </w:p>
    <w:p w:rsidR="00B875DD" w:rsidRDefault="006C48F3">
      <w:pPr>
        <w:numPr>
          <w:ilvl w:val="1"/>
          <w:numId w:val="31"/>
        </w:numPr>
        <w:spacing w:after="321"/>
        <w:ind w:right="0" w:hanging="420"/>
      </w:pPr>
      <w:r>
        <w:t xml:space="preserve">施工合同、专业分包合同及补充合同，有关材料、设备采购合同；  </w:t>
      </w:r>
    </w:p>
    <w:p w:rsidR="00B875DD" w:rsidRDefault="006C48F3">
      <w:pPr>
        <w:numPr>
          <w:ilvl w:val="1"/>
          <w:numId w:val="31"/>
        </w:numPr>
        <w:spacing w:after="319"/>
        <w:ind w:right="0" w:hanging="420"/>
      </w:pPr>
      <w:r>
        <w:t xml:space="preserve">相关工程造价管理机构发布的计价依据； </w:t>
      </w:r>
    </w:p>
    <w:p w:rsidR="00B875DD" w:rsidRDefault="006C48F3">
      <w:pPr>
        <w:numPr>
          <w:ilvl w:val="1"/>
          <w:numId w:val="31"/>
        </w:numPr>
        <w:spacing w:after="320"/>
        <w:ind w:right="0" w:hanging="420"/>
      </w:pPr>
      <w:r>
        <w:t xml:space="preserve">招标文件、投标文件； </w:t>
      </w:r>
    </w:p>
    <w:p w:rsidR="00B875DD" w:rsidRDefault="006C48F3">
      <w:pPr>
        <w:numPr>
          <w:ilvl w:val="1"/>
          <w:numId w:val="31"/>
        </w:numPr>
        <w:spacing w:after="273"/>
        <w:ind w:right="0" w:hanging="420"/>
      </w:pPr>
      <w:r>
        <w:t>工程施工图、经批准的施工组织设计、设计变更、工程洽商、工</w:t>
      </w:r>
    </w:p>
    <w:p w:rsidR="00B875DD" w:rsidRDefault="006C48F3">
      <w:pPr>
        <w:spacing w:after="270"/>
        <w:ind w:left="857" w:right="0"/>
      </w:pPr>
      <w:r>
        <w:t xml:space="preserve">程索赔与工程签证，相关会议纪要等； </w:t>
      </w:r>
    </w:p>
    <w:p w:rsidR="00B875DD" w:rsidRDefault="006C48F3">
      <w:pPr>
        <w:numPr>
          <w:ilvl w:val="1"/>
          <w:numId w:val="31"/>
        </w:numPr>
        <w:spacing w:after="320"/>
        <w:ind w:right="0" w:hanging="420"/>
      </w:pPr>
      <w:r>
        <w:t xml:space="preserve">工程材料及设备认价单； </w:t>
      </w:r>
    </w:p>
    <w:p w:rsidR="00B875DD" w:rsidRDefault="006C48F3">
      <w:pPr>
        <w:numPr>
          <w:ilvl w:val="1"/>
          <w:numId w:val="31"/>
        </w:numPr>
        <w:spacing w:after="316"/>
        <w:ind w:right="0" w:hanging="420"/>
      </w:pPr>
      <w:r>
        <w:t>发承包双方确认追加或核减的合同价款；</w:t>
      </w:r>
      <w:r>
        <w:rPr>
          <w:color w:val="FFFFFF"/>
        </w:rPr>
        <w:t>冯泽军藏书</w:t>
      </w:r>
      <w:r>
        <w:t xml:space="preserve"> </w:t>
      </w:r>
    </w:p>
    <w:p w:rsidR="00B875DD" w:rsidRDefault="006C48F3">
      <w:pPr>
        <w:numPr>
          <w:ilvl w:val="1"/>
          <w:numId w:val="31"/>
        </w:numPr>
        <w:spacing w:after="314"/>
        <w:ind w:right="0" w:hanging="420"/>
      </w:pPr>
      <w:r>
        <w:t xml:space="preserve">经批准的开工、竣工报告或停工、复工报告； </w:t>
      </w:r>
    </w:p>
    <w:p w:rsidR="00B875DD" w:rsidRDefault="006C48F3">
      <w:pPr>
        <w:numPr>
          <w:ilvl w:val="1"/>
          <w:numId w:val="31"/>
        </w:numPr>
        <w:spacing w:after="266"/>
        <w:ind w:right="0" w:hanging="420"/>
      </w:pPr>
      <w:r>
        <w:t xml:space="preserve">竣工结算审核的其他相关资料。 </w:t>
      </w:r>
    </w:p>
    <w:p w:rsidR="00B875DD" w:rsidRDefault="006C48F3">
      <w:pPr>
        <w:numPr>
          <w:ilvl w:val="2"/>
          <w:numId w:val="32"/>
        </w:numPr>
        <w:spacing w:line="410" w:lineRule="auto"/>
        <w:ind w:right="0" w:hanging="845"/>
      </w:pPr>
      <w:r>
        <w:lastRenderedPageBreak/>
        <w:t xml:space="preserve">竣工结算审核应采用全面审核法。除委托合同另有约定外，不得采用重点审核法、抽样审核法或类比审核法等其他方法。 </w:t>
      </w:r>
    </w:p>
    <w:p w:rsidR="00B875DD" w:rsidRDefault="006C48F3">
      <w:pPr>
        <w:numPr>
          <w:ilvl w:val="2"/>
          <w:numId w:val="32"/>
        </w:numPr>
        <w:spacing w:after="222"/>
        <w:ind w:right="0" w:hanging="845"/>
      </w:pPr>
      <w:r>
        <w:t>工程造价咨询企业在竣工结算审核过程中，发现工程图纸、工</w:t>
      </w:r>
    </w:p>
    <w:p w:rsidR="00B875DD" w:rsidRDefault="006C48F3">
      <w:pPr>
        <w:spacing w:line="410" w:lineRule="auto"/>
        <w:ind w:left="6" w:right="0"/>
      </w:pPr>
      <w:r>
        <w:t>程签证等与事实不符时，应由发承包双方书面澄清事实，并应据实进行调整，如未能取得书面澄清，工程造价咨询企业应进行判断，并就相关问题写入竣工结算审核报告。</w:t>
      </w:r>
      <w:r>
        <w:rPr>
          <w:color w:val="FFFFFF"/>
        </w:rPr>
        <w:t>冯泽军藏书</w:t>
      </w:r>
      <w:r>
        <w:t xml:space="preserve"> </w:t>
      </w:r>
    </w:p>
    <w:p w:rsidR="00B875DD" w:rsidRDefault="006C48F3">
      <w:pPr>
        <w:numPr>
          <w:ilvl w:val="2"/>
          <w:numId w:val="32"/>
        </w:numPr>
        <w:spacing w:line="410" w:lineRule="auto"/>
        <w:ind w:right="0" w:hanging="845"/>
      </w:pPr>
      <w:r>
        <w:t xml:space="preserve">在竣工结算审核过程中，工程造价咨询企业、发承包双方、相关各方，可通过专业会商会议，以会议纪要的形式协商解决下列问题： </w:t>
      </w:r>
    </w:p>
    <w:p w:rsidR="00B875DD" w:rsidRDefault="006C48F3">
      <w:pPr>
        <w:numPr>
          <w:ilvl w:val="2"/>
          <w:numId w:val="30"/>
        </w:numPr>
        <w:spacing w:after="229" w:line="259" w:lineRule="auto"/>
        <w:ind w:right="0" w:hanging="281"/>
      </w:pPr>
      <w:r>
        <w:t xml:space="preserve">施工合同中约定不明的事宜、缺陷的弥补、需澄清的问题； </w:t>
      </w:r>
    </w:p>
    <w:p w:rsidR="00B875DD" w:rsidRDefault="006C48F3">
      <w:pPr>
        <w:numPr>
          <w:ilvl w:val="2"/>
          <w:numId w:val="30"/>
        </w:numPr>
        <w:spacing w:after="229" w:line="259" w:lineRule="auto"/>
        <w:ind w:right="0" w:hanging="281"/>
      </w:pPr>
      <w:r>
        <w:t xml:space="preserve">需进一步约定的事项以及审核过程中的确认、明确的事宜； </w:t>
      </w:r>
    </w:p>
    <w:p w:rsidR="00B875DD" w:rsidRDefault="006C48F3">
      <w:pPr>
        <w:numPr>
          <w:ilvl w:val="2"/>
          <w:numId w:val="30"/>
        </w:numPr>
        <w:spacing w:after="222"/>
        <w:ind w:right="0" w:hanging="281"/>
      </w:pPr>
      <w:r>
        <w:t xml:space="preserve">发包人或承包人对竣工结算审核意见有异议的事项； </w:t>
      </w:r>
    </w:p>
    <w:p w:rsidR="00B875DD" w:rsidRDefault="006C48F3">
      <w:pPr>
        <w:numPr>
          <w:ilvl w:val="2"/>
          <w:numId w:val="30"/>
        </w:numPr>
        <w:spacing w:after="222"/>
        <w:ind w:right="0" w:hanging="281"/>
      </w:pPr>
      <w:r>
        <w:t xml:space="preserve">其他需通过专业会商会议解决的事项。 </w:t>
      </w:r>
    </w:p>
    <w:p w:rsidR="00B875DD" w:rsidRDefault="006C48F3">
      <w:pPr>
        <w:spacing w:line="410" w:lineRule="auto"/>
        <w:ind w:left="6" w:right="0"/>
      </w:pPr>
      <w:r>
        <w:t xml:space="preserve">8.3.8 工程造价咨询企业完成竣工结算的审核，其结论应由发包人、承包人、工程造价咨询企业共同签认。无实质性理由发包人、承包人及工程造价咨询企业因分歧不能共同签认竣工结算审定签署表的，工程造价咨询企业在协调无果的情况下可单独提交竣工结算审核书，并承担相应责任。 </w:t>
      </w:r>
    </w:p>
    <w:p w:rsidR="00B875DD" w:rsidRDefault="006C48F3">
      <w:pPr>
        <w:spacing w:after="497" w:line="259" w:lineRule="auto"/>
        <w:ind w:left="829" w:right="0" w:firstLine="0"/>
      </w:pPr>
      <w:r>
        <w:t xml:space="preserve"> </w:t>
      </w:r>
    </w:p>
    <w:p w:rsidR="00B875DD" w:rsidRDefault="006C48F3">
      <w:pPr>
        <w:pStyle w:val="2"/>
        <w:ind w:left="535" w:right="143" w:hanging="535"/>
      </w:pPr>
      <w:bookmarkStart w:id="31" w:name="_Toc28365"/>
      <w:r>
        <w:lastRenderedPageBreak/>
        <w:t>竣工决算编制</w:t>
      </w:r>
      <w:r>
        <w:rPr>
          <w:rFonts w:ascii="Cambria" w:eastAsia="Cambria" w:hAnsi="Cambria" w:cs="Cambria"/>
          <w:b/>
        </w:rPr>
        <w:t xml:space="preserve"> </w:t>
      </w:r>
      <w:bookmarkEnd w:id="31"/>
    </w:p>
    <w:p w:rsidR="00B875DD" w:rsidRDefault="006C48F3">
      <w:pPr>
        <w:spacing w:after="222"/>
        <w:ind w:left="6" w:right="0"/>
      </w:pPr>
      <w:r>
        <w:t>8.4.1 工程造价咨询企业可接受委托承担竣工决算的全部编制工作，</w:t>
      </w:r>
    </w:p>
    <w:p w:rsidR="00B875DD" w:rsidRDefault="006C48F3">
      <w:pPr>
        <w:spacing w:line="410" w:lineRule="auto"/>
        <w:ind w:left="6" w:right="0"/>
      </w:pPr>
      <w:r>
        <w:t xml:space="preserve">也可承接竣工决算中的投资效果分析，交付使用资产表及明细表等报表部分的编制工作。 </w:t>
      </w:r>
    </w:p>
    <w:p w:rsidR="00B875DD" w:rsidRDefault="006C48F3">
      <w:pPr>
        <w:spacing w:line="410" w:lineRule="auto"/>
        <w:ind w:left="6" w:right="0"/>
      </w:pPr>
      <w:r>
        <w:t xml:space="preserve">8.4.2 工程造价咨询企业承担竣工决算全部编制工作时，除应具备相应工程造价咨询资质和能力、人员资格和质量管理等要求外，还应符合国家有关竣工决算的其他规定，与会计人员配合完成编制工作。 </w:t>
      </w:r>
    </w:p>
    <w:p w:rsidR="00B875DD" w:rsidRDefault="006C48F3">
      <w:pPr>
        <w:spacing w:line="410" w:lineRule="auto"/>
        <w:ind w:left="6" w:right="0"/>
      </w:pPr>
      <w:r>
        <w:t xml:space="preserve">8.4.3 竣工决算应综合反映竣工项目从筹建开始至项目竣工交付使用为止的全部建设费用、投资效果以及新增资产价值。 </w:t>
      </w:r>
    </w:p>
    <w:p w:rsidR="00B875DD" w:rsidRDefault="006C48F3">
      <w:pPr>
        <w:spacing w:after="222"/>
        <w:ind w:left="6" w:right="0"/>
      </w:pPr>
      <w:r>
        <w:t xml:space="preserve">8.4.4 竣工决算应依据下列资料编制： </w:t>
      </w:r>
    </w:p>
    <w:p w:rsidR="00B875DD" w:rsidRDefault="006C48F3">
      <w:pPr>
        <w:numPr>
          <w:ilvl w:val="0"/>
          <w:numId w:val="33"/>
        </w:numPr>
        <w:spacing w:after="222"/>
        <w:ind w:right="0" w:hanging="566"/>
      </w:pPr>
      <w:r>
        <w:t xml:space="preserve">影响合同价款的法律、法规和规范性文件； </w:t>
      </w:r>
    </w:p>
    <w:p w:rsidR="00B875DD" w:rsidRDefault="006C48F3">
      <w:pPr>
        <w:numPr>
          <w:ilvl w:val="0"/>
          <w:numId w:val="33"/>
        </w:numPr>
        <w:ind w:right="0" w:hanging="566"/>
      </w:pPr>
      <w:r>
        <w:t xml:space="preserve">项目计划任务书及立项批复文件； </w:t>
      </w:r>
    </w:p>
    <w:p w:rsidR="00B875DD" w:rsidRDefault="006C48F3">
      <w:pPr>
        <w:numPr>
          <w:ilvl w:val="0"/>
          <w:numId w:val="33"/>
        </w:numPr>
        <w:spacing w:after="222"/>
        <w:ind w:right="0" w:hanging="566"/>
      </w:pPr>
      <w:r>
        <w:t xml:space="preserve">项目总概算书和单项工程概算书文件； </w:t>
      </w:r>
    </w:p>
    <w:p w:rsidR="00B875DD" w:rsidRDefault="006C48F3">
      <w:pPr>
        <w:numPr>
          <w:ilvl w:val="0"/>
          <w:numId w:val="33"/>
        </w:numPr>
        <w:spacing w:after="222"/>
        <w:ind w:right="0" w:hanging="566"/>
      </w:pPr>
      <w:r>
        <w:t xml:space="preserve">经批准的设计文件以及设计交底、图纸会审资料；        </w:t>
      </w:r>
    </w:p>
    <w:p w:rsidR="00B875DD" w:rsidRDefault="006C48F3">
      <w:pPr>
        <w:numPr>
          <w:ilvl w:val="0"/>
          <w:numId w:val="33"/>
        </w:numPr>
        <w:spacing w:after="222"/>
        <w:ind w:right="0" w:hanging="566"/>
      </w:pPr>
      <w:r>
        <w:t xml:space="preserve">招标文件和最高投标限价； </w:t>
      </w:r>
    </w:p>
    <w:p w:rsidR="00B875DD" w:rsidRDefault="006C48F3">
      <w:pPr>
        <w:numPr>
          <w:ilvl w:val="0"/>
          <w:numId w:val="33"/>
        </w:numPr>
        <w:spacing w:after="222"/>
        <w:ind w:right="0" w:hanging="566"/>
      </w:pPr>
      <w:r>
        <w:t xml:space="preserve">工程合同文件； </w:t>
      </w:r>
    </w:p>
    <w:p w:rsidR="00B875DD" w:rsidRDefault="006C48F3">
      <w:pPr>
        <w:numPr>
          <w:ilvl w:val="0"/>
          <w:numId w:val="33"/>
        </w:numPr>
        <w:spacing w:after="222"/>
        <w:ind w:right="0" w:hanging="566"/>
      </w:pPr>
      <w:r>
        <w:t xml:space="preserve">项目竣工结算文件； </w:t>
      </w:r>
    </w:p>
    <w:p w:rsidR="00B875DD" w:rsidRDefault="006C48F3">
      <w:pPr>
        <w:numPr>
          <w:ilvl w:val="0"/>
          <w:numId w:val="33"/>
        </w:numPr>
        <w:spacing w:after="222"/>
        <w:ind w:right="0" w:hanging="566"/>
      </w:pPr>
      <w:r>
        <w:t xml:space="preserve">工程签证、工程索赔等合同价款调整文件； </w:t>
      </w:r>
    </w:p>
    <w:p w:rsidR="00B875DD" w:rsidRDefault="006C48F3">
      <w:pPr>
        <w:numPr>
          <w:ilvl w:val="0"/>
          <w:numId w:val="33"/>
        </w:numPr>
        <w:spacing w:after="272"/>
        <w:ind w:right="0" w:hanging="566"/>
      </w:pPr>
      <w:r>
        <w:t>设备、材料调价文件记录；</w:t>
      </w:r>
      <w:r>
        <w:rPr>
          <w:color w:val="FFFFFF"/>
        </w:rPr>
        <w:t>冯泽军藏书</w:t>
      </w:r>
      <w:r>
        <w:t xml:space="preserve"> </w:t>
      </w:r>
    </w:p>
    <w:p w:rsidR="00B875DD" w:rsidRDefault="006C48F3">
      <w:pPr>
        <w:numPr>
          <w:ilvl w:val="0"/>
          <w:numId w:val="33"/>
        </w:numPr>
        <w:spacing w:after="325"/>
        <w:ind w:right="0" w:hanging="566"/>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3862644</wp:posOffset>
                </wp:positionH>
                <wp:positionV relativeFrom="paragraph">
                  <wp:posOffset>-535438</wp:posOffset>
                </wp:positionV>
                <wp:extent cx="1217534" cy="844764"/>
                <wp:effectExtent l="0" t="0" r="0" b="0"/>
                <wp:wrapNone/>
                <wp:docPr id="26555" name="Group 26555"/>
                <wp:cNvGraphicFramePr/>
                <a:graphic xmlns:a="http://schemas.openxmlformats.org/drawingml/2006/main">
                  <a:graphicData uri="http://schemas.microsoft.com/office/word/2010/wordprocessingGroup">
                    <wpg:wgp>
                      <wpg:cNvGrpSpPr/>
                      <wpg:grpSpPr>
                        <a:xfrm>
                          <a:off x="0" y="0"/>
                          <a:ext cx="1217534" cy="844764"/>
                          <a:chOff x="0" y="0"/>
                          <a:chExt cx="1217534" cy="844764"/>
                        </a:xfrm>
                      </wpg:grpSpPr>
                      <wps:wsp>
                        <wps:cNvPr id="28996" name="Shape 28996"/>
                        <wps:cNvSpPr/>
                        <wps:spPr>
                          <a:xfrm>
                            <a:off x="0" y="0"/>
                            <a:ext cx="1217534" cy="15221"/>
                          </a:xfrm>
                          <a:custGeom>
                            <a:avLst/>
                            <a:gdLst/>
                            <a:ahLst/>
                            <a:cxnLst/>
                            <a:rect l="0" t="0" r="0" b="0"/>
                            <a:pathLst>
                              <a:path w="1217534" h="15221">
                                <a:moveTo>
                                  <a:pt x="0" y="0"/>
                                </a:moveTo>
                                <a:lnTo>
                                  <a:pt x="1217534" y="0"/>
                                </a:lnTo>
                                <a:lnTo>
                                  <a:pt x="1217534" y="15221"/>
                                </a:lnTo>
                                <a:lnTo>
                                  <a:pt x="0" y="152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97" name="Shape 28997"/>
                        <wps:cNvSpPr/>
                        <wps:spPr>
                          <a:xfrm>
                            <a:off x="0" y="829536"/>
                            <a:ext cx="1217534" cy="15228"/>
                          </a:xfrm>
                          <a:custGeom>
                            <a:avLst/>
                            <a:gdLst/>
                            <a:ahLst/>
                            <a:cxnLst/>
                            <a:rect l="0" t="0" r="0" b="0"/>
                            <a:pathLst>
                              <a:path w="1217534" h="15228">
                                <a:moveTo>
                                  <a:pt x="0" y="0"/>
                                </a:moveTo>
                                <a:lnTo>
                                  <a:pt x="1217534" y="0"/>
                                </a:lnTo>
                                <a:lnTo>
                                  <a:pt x="1217534" y="15228"/>
                                </a:lnTo>
                                <a:lnTo>
                                  <a:pt x="0" y="152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98" name="Shape 28998"/>
                        <wps:cNvSpPr/>
                        <wps:spPr>
                          <a:xfrm>
                            <a:off x="0" y="15216"/>
                            <a:ext cx="1217534" cy="814314"/>
                          </a:xfrm>
                          <a:custGeom>
                            <a:avLst/>
                            <a:gdLst/>
                            <a:ahLst/>
                            <a:cxnLst/>
                            <a:rect l="0" t="0" r="0" b="0"/>
                            <a:pathLst>
                              <a:path w="1217534" h="814314">
                                <a:moveTo>
                                  <a:pt x="0" y="0"/>
                                </a:moveTo>
                                <a:lnTo>
                                  <a:pt x="1217534" y="0"/>
                                </a:lnTo>
                                <a:lnTo>
                                  <a:pt x="1217534" y="814314"/>
                                </a:lnTo>
                                <a:lnTo>
                                  <a:pt x="0" y="81431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999" name="Shape 28999"/>
                        <wps:cNvSpPr/>
                        <wps:spPr>
                          <a:xfrm>
                            <a:off x="91315" y="45665"/>
                            <a:ext cx="1034912" cy="783872"/>
                          </a:xfrm>
                          <a:custGeom>
                            <a:avLst/>
                            <a:gdLst/>
                            <a:ahLst/>
                            <a:cxnLst/>
                            <a:rect l="0" t="0" r="0" b="0"/>
                            <a:pathLst>
                              <a:path w="1034912" h="783872">
                                <a:moveTo>
                                  <a:pt x="0" y="0"/>
                                </a:moveTo>
                                <a:lnTo>
                                  <a:pt x="1034912" y="0"/>
                                </a:lnTo>
                                <a:lnTo>
                                  <a:pt x="1034912" y="783872"/>
                                </a:lnTo>
                                <a:lnTo>
                                  <a:pt x="0" y="7838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6555" style="width:95.8688pt;height:66.5169pt;position:absolute;z-index:-2147483631;mso-position-horizontal-relative:text;mso-position-horizontal:absolute;margin-left:304.145pt;mso-position-vertical-relative:text;margin-top:-42.1605pt;" coordsize="12175,8447">
                <v:shape id="Shape 29000" style="position:absolute;width:12175;height:152;left:0;top:0;" coordsize="1217534,15221" path="m0,0l1217534,0l1217534,15221l0,15221l0,0">
                  <v:stroke weight="0pt" endcap="flat" joinstyle="miter" miterlimit="10" on="false" color="#000000" opacity="0"/>
                  <v:fill on="true" color="#000000"/>
                </v:shape>
                <v:shape id="Shape 29001" style="position:absolute;width:12175;height:152;left:0;top:8295;" coordsize="1217534,15228" path="m0,0l1217534,0l1217534,15228l0,15228l0,0">
                  <v:stroke weight="0pt" endcap="flat" joinstyle="miter" miterlimit="10" on="false" color="#000000" opacity="0"/>
                  <v:fill on="true" color="#000000"/>
                </v:shape>
                <v:shape id="Shape 29002" style="position:absolute;width:12175;height:8143;left:0;top:152;" coordsize="1217534,814314" path="m0,0l1217534,0l1217534,814314l0,814314l0,0">
                  <v:stroke weight="0pt" endcap="flat" joinstyle="miter" miterlimit="10" on="false" color="#000000" opacity="0"/>
                  <v:fill on="true" color="#ffffff"/>
                </v:shape>
                <v:shape id="Shape 29003" style="position:absolute;width:10349;height:7838;left:913;top:456;" coordsize="1034912,783872" path="m0,0l1034912,0l1034912,783872l0,783872l0,0">
                  <v:stroke weight="0pt" endcap="flat" joinstyle="miter" miterlimit="10" on="false" color="#000000" opacity="0"/>
                  <v:fill on="true" color="#ffffff"/>
                </v:shape>
              </v:group>
            </w:pict>
          </mc:Fallback>
        </mc:AlternateContent>
      </w:r>
      <w:r>
        <w:t xml:space="preserve">会计核算及财务管理资料，历年财务决算及批复文件； </w:t>
      </w:r>
    </w:p>
    <w:p w:rsidR="00B875DD" w:rsidRDefault="006C48F3">
      <w:pPr>
        <w:numPr>
          <w:ilvl w:val="0"/>
          <w:numId w:val="33"/>
        </w:numPr>
        <w:spacing w:after="321"/>
        <w:ind w:right="0" w:hanging="566"/>
      </w:pPr>
      <w:r>
        <w:t xml:space="preserve">其它有关项目管理的文件。 </w:t>
      </w:r>
      <w:bookmarkStart w:id="32" w:name="_GoBack"/>
      <w:bookmarkEnd w:id="32"/>
    </w:p>
    <w:p w:rsidR="00B875DD" w:rsidRDefault="006C48F3">
      <w:pPr>
        <w:spacing w:after="222"/>
        <w:ind w:left="6" w:right="0"/>
      </w:pPr>
      <w:r>
        <w:lastRenderedPageBreak/>
        <w:t xml:space="preserve">8.4.5 编制工程竣工决算应具备下列条件： </w:t>
      </w:r>
    </w:p>
    <w:p w:rsidR="00B875DD" w:rsidRDefault="006C48F3">
      <w:pPr>
        <w:numPr>
          <w:ilvl w:val="0"/>
          <w:numId w:val="34"/>
        </w:numPr>
        <w:spacing w:after="222"/>
        <w:ind w:right="0" w:hanging="281"/>
      </w:pPr>
      <w:r>
        <w:t xml:space="preserve">经批准的初步设计所确定的工程内容已完成； </w:t>
      </w:r>
    </w:p>
    <w:p w:rsidR="00B875DD" w:rsidRDefault="006C48F3">
      <w:pPr>
        <w:numPr>
          <w:ilvl w:val="0"/>
          <w:numId w:val="34"/>
        </w:numPr>
        <w:spacing w:after="222"/>
        <w:ind w:right="0" w:hanging="281"/>
      </w:pPr>
      <w:r>
        <w:t xml:space="preserve">单项工程或建设项目竣工结算已完成； </w:t>
      </w:r>
    </w:p>
    <w:p w:rsidR="00B875DD" w:rsidRDefault="006C48F3">
      <w:pPr>
        <w:numPr>
          <w:ilvl w:val="0"/>
          <w:numId w:val="34"/>
        </w:numPr>
        <w:spacing w:after="222"/>
        <w:ind w:right="0" w:hanging="281"/>
      </w:pPr>
      <w:r>
        <w:t xml:space="preserve">收尾工程投资和预留费用不超过规定的比例； </w:t>
      </w:r>
    </w:p>
    <w:p w:rsidR="00B875DD" w:rsidRDefault="006C48F3">
      <w:pPr>
        <w:numPr>
          <w:ilvl w:val="0"/>
          <w:numId w:val="34"/>
        </w:numPr>
        <w:spacing w:after="222"/>
        <w:ind w:right="0" w:hanging="281"/>
      </w:pPr>
      <w:r>
        <w:t xml:space="preserve">涉及法律诉讼、工程质量的事项已处理完毕； </w:t>
      </w:r>
    </w:p>
    <w:p w:rsidR="00B875DD" w:rsidRDefault="006C48F3">
      <w:pPr>
        <w:numPr>
          <w:ilvl w:val="0"/>
          <w:numId w:val="34"/>
        </w:numPr>
        <w:spacing w:after="222"/>
        <w:ind w:right="0" w:hanging="281"/>
      </w:pPr>
      <w:r>
        <w:t xml:space="preserve">其它影响工程竣工决算编制的重大问题已解决。 </w:t>
      </w:r>
    </w:p>
    <w:p w:rsidR="00B875DD" w:rsidRDefault="006C48F3">
      <w:pPr>
        <w:spacing w:line="410" w:lineRule="auto"/>
        <w:ind w:left="6" w:right="0"/>
      </w:pPr>
      <w:r>
        <w:t xml:space="preserve">8.4.6工程竣工决算的编制应包括封面、说明、基本建设项目竣工财务决算报表等，工程竣工决算成果文件可按本规范附录H编制。 </w:t>
      </w:r>
    </w:p>
    <w:p w:rsidR="00B875DD" w:rsidRDefault="006C48F3">
      <w:pPr>
        <w:spacing w:after="222"/>
        <w:ind w:left="6" w:right="0"/>
      </w:pPr>
      <w:r>
        <w:t xml:space="preserve">8.4.7工程竣工决算报告的说明部分，应包括下列内容： </w:t>
      </w:r>
    </w:p>
    <w:p w:rsidR="00B875DD" w:rsidRDefault="006C48F3">
      <w:pPr>
        <w:numPr>
          <w:ilvl w:val="0"/>
          <w:numId w:val="35"/>
        </w:numPr>
        <w:spacing w:after="222"/>
        <w:ind w:left="1125" w:right="0" w:hanging="281"/>
      </w:pPr>
      <w:r>
        <w:t>基本建设项目概况；</w:t>
      </w:r>
      <w:r>
        <w:rPr>
          <w:color w:val="FFFFFF"/>
        </w:rPr>
        <w:t>冯泽军藏书</w:t>
      </w:r>
      <w:r>
        <w:t xml:space="preserve"> </w:t>
      </w:r>
    </w:p>
    <w:p w:rsidR="00B875DD" w:rsidRDefault="006C48F3">
      <w:pPr>
        <w:numPr>
          <w:ilvl w:val="0"/>
          <w:numId w:val="35"/>
        </w:numPr>
        <w:spacing w:after="229" w:line="259" w:lineRule="auto"/>
        <w:ind w:left="1125" w:right="0" w:hanging="281"/>
      </w:pPr>
      <w:r>
        <w:t xml:space="preserve">会计帐务的处理情况、财产物资清理及债权债务的清偿情况； </w:t>
      </w:r>
    </w:p>
    <w:p w:rsidR="00B875DD" w:rsidRDefault="006C48F3">
      <w:pPr>
        <w:numPr>
          <w:ilvl w:val="0"/>
          <w:numId w:val="35"/>
        </w:numPr>
        <w:ind w:left="1125" w:right="0" w:hanging="281"/>
      </w:pPr>
      <w:r>
        <w:t xml:space="preserve">基建结余资金等分配情况； </w:t>
      </w:r>
    </w:p>
    <w:p w:rsidR="00B875DD" w:rsidRDefault="006C48F3">
      <w:pPr>
        <w:numPr>
          <w:ilvl w:val="0"/>
          <w:numId w:val="35"/>
        </w:numPr>
        <w:spacing w:after="222"/>
        <w:ind w:left="1125" w:right="0" w:hanging="281"/>
      </w:pPr>
      <w:r>
        <w:t xml:space="preserve">基本建设项目管理及决算中存在的问题和建议； </w:t>
      </w:r>
    </w:p>
    <w:p w:rsidR="00B875DD" w:rsidRDefault="006C48F3">
      <w:pPr>
        <w:numPr>
          <w:ilvl w:val="0"/>
          <w:numId w:val="35"/>
        </w:numPr>
        <w:spacing w:after="222"/>
        <w:ind w:left="1125" w:right="0" w:hanging="281"/>
      </w:pPr>
      <w:r>
        <w:t xml:space="preserve">决算与概算的差异和原因分析，主要技术经济指标的分析； </w:t>
      </w:r>
    </w:p>
    <w:p w:rsidR="00B875DD" w:rsidRDefault="006C48F3">
      <w:pPr>
        <w:numPr>
          <w:ilvl w:val="0"/>
          <w:numId w:val="35"/>
        </w:numPr>
        <w:spacing w:after="222"/>
        <w:ind w:left="1125" w:right="0" w:hanging="281"/>
      </w:pPr>
      <w:r>
        <w:t xml:space="preserve">需要说明的其它事项。 </w:t>
      </w:r>
    </w:p>
    <w:p w:rsidR="00B875DD" w:rsidRDefault="006C48F3">
      <w:pPr>
        <w:spacing w:after="222"/>
        <w:ind w:left="6" w:right="0"/>
      </w:pPr>
      <w:r>
        <w:t xml:space="preserve">8.4.8  基本建设工程项目竣工财务决算报表，应包括下列内容： </w:t>
      </w:r>
    </w:p>
    <w:p w:rsidR="00B875DD" w:rsidRDefault="006C48F3">
      <w:pPr>
        <w:numPr>
          <w:ilvl w:val="0"/>
          <w:numId w:val="36"/>
        </w:numPr>
        <w:spacing w:after="222"/>
        <w:ind w:right="0" w:hanging="281"/>
      </w:pPr>
      <w:r>
        <w:t>基本建设项目概况表；</w:t>
      </w:r>
      <w:r>
        <w:rPr>
          <w:color w:val="FFFFFF"/>
        </w:rPr>
        <w:t>冯泽军藏书</w:t>
      </w:r>
      <w:r>
        <w:t xml:space="preserve"> </w:t>
      </w:r>
    </w:p>
    <w:p w:rsidR="00B875DD" w:rsidRDefault="006C48F3">
      <w:pPr>
        <w:numPr>
          <w:ilvl w:val="0"/>
          <w:numId w:val="36"/>
        </w:numPr>
        <w:spacing w:after="222"/>
        <w:ind w:right="0" w:hanging="281"/>
      </w:pPr>
      <w:r>
        <w:t xml:space="preserve">基本建设项目竣工财务决算表； </w:t>
      </w:r>
    </w:p>
    <w:p w:rsidR="00B875DD" w:rsidRDefault="006C48F3">
      <w:pPr>
        <w:numPr>
          <w:ilvl w:val="0"/>
          <w:numId w:val="36"/>
        </w:numPr>
        <w:spacing w:after="222"/>
        <w:ind w:right="0" w:hanging="281"/>
      </w:pPr>
      <w:r>
        <w:t xml:space="preserve">基本建设项目交付使用资产总表； </w:t>
      </w:r>
    </w:p>
    <w:p w:rsidR="00B875DD" w:rsidRDefault="006C48F3">
      <w:pPr>
        <w:numPr>
          <w:ilvl w:val="0"/>
          <w:numId w:val="36"/>
        </w:numPr>
        <w:spacing w:after="744"/>
        <w:ind w:right="0" w:hanging="281"/>
      </w:pPr>
      <w:r>
        <w:t xml:space="preserve">基本建设项目交付使用资产明细表。 </w:t>
      </w:r>
    </w:p>
    <w:p w:rsidR="00B875DD" w:rsidRDefault="006C48F3">
      <w:pPr>
        <w:pStyle w:val="1"/>
        <w:ind w:left="662" w:right="143" w:hanging="662"/>
      </w:pPr>
      <w:bookmarkStart w:id="33" w:name="_Toc28366"/>
      <w:r>
        <w:lastRenderedPageBreak/>
        <w:t>造价鉴定</w:t>
      </w:r>
      <w:r>
        <w:rPr>
          <w:rFonts w:ascii="Times New Roman" w:eastAsia="Times New Roman" w:hAnsi="Times New Roman" w:cs="Times New Roman"/>
          <w:b/>
        </w:rPr>
        <w:t xml:space="preserve"> </w:t>
      </w:r>
      <w:bookmarkEnd w:id="33"/>
    </w:p>
    <w:p w:rsidR="00B875DD" w:rsidRDefault="006C48F3">
      <w:pPr>
        <w:pStyle w:val="2"/>
        <w:ind w:left="535" w:right="140" w:hanging="535"/>
      </w:pPr>
      <w:bookmarkStart w:id="34" w:name="_Toc28367"/>
      <w:r>
        <w:t>一般规定</w:t>
      </w:r>
      <w:r>
        <w:rPr>
          <w:rFonts w:ascii="Cambria" w:eastAsia="Cambria" w:hAnsi="Cambria" w:cs="Cambria"/>
          <w:b/>
        </w:rPr>
        <w:t xml:space="preserve"> </w:t>
      </w:r>
      <w:bookmarkEnd w:id="34"/>
    </w:p>
    <w:p w:rsidR="00B875DD" w:rsidRDefault="006C48F3">
      <w:pPr>
        <w:spacing w:after="222"/>
        <w:ind w:left="6" w:right="0"/>
      </w:pPr>
      <w:r>
        <w:t>9.1.1 工程造价咨询企业可接受法院或仲裁机构的委托，根据其建设</w:t>
      </w:r>
    </w:p>
    <w:p w:rsidR="00B875DD" w:rsidRDefault="006C48F3">
      <w:pPr>
        <w:spacing w:line="410" w:lineRule="auto"/>
        <w:ind w:left="6" w:right="0"/>
      </w:pPr>
      <w:r>
        <w:t xml:space="preserve">工程造价方面的专业知识和技能，对纠纷项目的工程造价以及由此延伸引起的经济问题进行鉴别和判断，并应提供鉴定意见。 </w:t>
      </w:r>
    </w:p>
    <w:p w:rsidR="00B875DD" w:rsidRDefault="006C48F3">
      <w:pPr>
        <w:spacing w:line="410" w:lineRule="auto"/>
        <w:ind w:left="6" w:right="0"/>
      </w:pPr>
      <w:r>
        <w:t>9.1.2 工程造价咨询企业承接工程造价鉴定业务应指派注册造价工程师承担鉴定工作。</w:t>
      </w:r>
      <w:r>
        <w:rPr>
          <w:color w:val="FFFFFF"/>
        </w:rPr>
        <w:t>冯泽军藏书</w:t>
      </w:r>
      <w:r>
        <w:t xml:space="preserve"> </w:t>
      </w:r>
    </w:p>
    <w:p w:rsidR="00B875DD" w:rsidRDefault="006C48F3">
      <w:pPr>
        <w:spacing w:line="410" w:lineRule="auto"/>
        <w:ind w:left="6" w:right="0"/>
      </w:pPr>
      <w:r>
        <w:t xml:space="preserve">9.1.3  工程造价咨询企业接受鉴定委托时，应签订委托文书或鉴定合同。鉴定结论意见应与鉴定委托文书或鉴定合同中明确的项目范围、内容、要求一致，不得超出或缩小委托范围及内容进行鉴定。 </w:t>
      </w:r>
    </w:p>
    <w:p w:rsidR="00B875DD" w:rsidRDefault="006C48F3">
      <w:pPr>
        <w:spacing w:after="229" w:line="410" w:lineRule="auto"/>
        <w:ind w:left="6" w:right="0"/>
      </w:pPr>
      <w:r>
        <w:t>9.1.4 对从事鉴定项目的工程造价咨询企业和鉴定人员，根据相关法律、法规的规定需回避的，应自行回避；未自行回避的，鉴定委托人、当事人及利害关系人要求其回避的，应予回避。</w:t>
      </w:r>
      <w:r>
        <w:rPr>
          <w:color w:val="FFFFFF"/>
        </w:rPr>
        <w:t>冯泽军藏书</w:t>
      </w:r>
      <w:r>
        <w:t xml:space="preserve"> </w:t>
      </w:r>
    </w:p>
    <w:p w:rsidR="00B875DD" w:rsidRDefault="006C48F3">
      <w:pPr>
        <w:spacing w:after="222"/>
        <w:ind w:left="6" w:right="0"/>
      </w:pPr>
      <w:r>
        <w:t>9.1.5 对工程造价咨询企业主动要求回避的，应说明回避理由，由鉴</w:t>
      </w:r>
    </w:p>
    <w:p w:rsidR="00B875DD" w:rsidRDefault="006C48F3">
      <w:pPr>
        <w:spacing w:after="222"/>
        <w:ind w:left="6" w:right="0"/>
      </w:pPr>
      <w:r>
        <w:t>定委托人做出回避与否的决定。对鉴定人员主动提出回避且理由成立</w:t>
      </w:r>
    </w:p>
    <w:p w:rsidR="00B875DD" w:rsidRDefault="006C48F3">
      <w:pPr>
        <w:spacing w:after="222"/>
        <w:ind w:left="6" w:right="0"/>
      </w:pPr>
      <w:r>
        <w:t xml:space="preserve">的，应由工程造价咨询企业指派其他符合要求的人员担任鉴定工作。 </w:t>
      </w:r>
    </w:p>
    <w:p w:rsidR="00B875DD" w:rsidRDefault="006C48F3">
      <w:pPr>
        <w:spacing w:after="498" w:line="259" w:lineRule="auto"/>
        <w:ind w:left="431" w:right="0" w:firstLine="0"/>
      </w:pPr>
      <w:r>
        <w:t xml:space="preserve"> </w:t>
      </w:r>
    </w:p>
    <w:p w:rsidR="00B875DD" w:rsidRDefault="006C48F3">
      <w:pPr>
        <w:pStyle w:val="2"/>
        <w:ind w:left="466" w:right="143" w:hanging="466"/>
      </w:pPr>
      <w:bookmarkStart w:id="35" w:name="_Toc28368"/>
      <w:r>
        <w:lastRenderedPageBreak/>
        <w:t>准备工作</w:t>
      </w:r>
      <w:r>
        <w:rPr>
          <w:rFonts w:ascii="Cambria" w:eastAsia="Cambria" w:hAnsi="Cambria" w:cs="Cambria"/>
          <w:b/>
        </w:rPr>
        <w:t xml:space="preserve"> </w:t>
      </w:r>
      <w:bookmarkEnd w:id="35"/>
    </w:p>
    <w:p w:rsidR="00B875DD" w:rsidRDefault="006C48F3">
      <w:pPr>
        <w:spacing w:line="410" w:lineRule="auto"/>
        <w:ind w:left="6" w:right="0"/>
      </w:pPr>
      <w:r>
        <w:t xml:space="preserve">9.2.1 工程造价咨询企业应在收到委托人提交的书面委托文书后开始鉴定业务。 </w:t>
      </w:r>
    </w:p>
    <w:p w:rsidR="00B875DD" w:rsidRDefault="006C48F3">
      <w:pPr>
        <w:spacing w:line="410" w:lineRule="auto"/>
        <w:ind w:left="6" w:right="0"/>
      </w:pPr>
      <w:r>
        <w:t xml:space="preserve">9.2.2 鉴定人员对委托文书的范围、内容、要求、期限有疑问的，应以鉴定机构的名义及时与鉴定委托人联系，排除疑问。当事人对鉴定委托人在其委托文书中提出的鉴定范围、内容、要求或期限等有异议时，鉴定人员应以工程造价咨询企业的名义及时向鉴定委托人反映，排除疑问。 </w:t>
      </w:r>
    </w:p>
    <w:p w:rsidR="00B875DD" w:rsidRDefault="006C48F3">
      <w:pPr>
        <w:spacing w:line="410" w:lineRule="auto"/>
        <w:ind w:left="6" w:right="0"/>
      </w:pPr>
      <w:r>
        <w:t xml:space="preserve">9.2.3 工程造价咨询企业应按项目具体情况和有关规定完成鉴定工作中的取证程序，获取有关鉴定资料。 </w:t>
      </w:r>
    </w:p>
    <w:p w:rsidR="00B875DD" w:rsidRDefault="006C48F3">
      <w:pPr>
        <w:spacing w:line="410" w:lineRule="auto"/>
        <w:ind w:left="6" w:right="0"/>
      </w:pPr>
      <w:r>
        <w:t xml:space="preserve">9.2.4 根据项目鉴定工作需要，工程造价咨询企业可提请委托人组织当事人对被鉴定的标的物进行现场勘验，并应按有关规定做勘验记录、笔录或勘验图表。 </w:t>
      </w:r>
    </w:p>
    <w:p w:rsidR="00B875DD" w:rsidRDefault="006C48F3">
      <w:pPr>
        <w:spacing w:after="0" w:line="259" w:lineRule="auto"/>
        <w:ind w:left="500" w:right="0" w:firstLine="0"/>
      </w:pPr>
      <w:r>
        <w:t xml:space="preserve"> </w:t>
      </w:r>
    </w:p>
    <w:p w:rsidR="00B875DD" w:rsidRDefault="00B875DD">
      <w:pPr>
        <w:sectPr w:rsidR="00B875DD">
          <w:headerReference w:type="even" r:id="rId22"/>
          <w:headerReference w:type="default" r:id="rId23"/>
          <w:footerReference w:type="even" r:id="rId24"/>
          <w:footerReference w:type="default" r:id="rId25"/>
          <w:headerReference w:type="first" r:id="rId26"/>
          <w:footerReference w:type="first" r:id="rId27"/>
          <w:pgSz w:w="11906" w:h="16838"/>
          <w:pgMar w:top="2059" w:right="1445" w:bottom="1496" w:left="1794" w:header="852" w:footer="982" w:gutter="0"/>
          <w:cols w:space="720"/>
        </w:sectPr>
      </w:pPr>
    </w:p>
    <w:p w:rsidR="00B875DD" w:rsidRDefault="006C48F3">
      <w:pPr>
        <w:pStyle w:val="2"/>
        <w:ind w:left="535" w:right="141" w:hanging="535"/>
      </w:pPr>
      <w:bookmarkStart w:id="36" w:name="_Toc28369"/>
      <w:r>
        <w:lastRenderedPageBreak/>
        <w:t>鉴定工作</w:t>
      </w:r>
      <w:r>
        <w:rPr>
          <w:rFonts w:ascii="Cambria" w:eastAsia="Cambria" w:hAnsi="Cambria" w:cs="Cambria"/>
          <w:b/>
        </w:rPr>
        <w:t xml:space="preserve"> </w:t>
      </w:r>
      <w:bookmarkEnd w:id="36"/>
    </w:p>
    <w:p w:rsidR="00B875DD" w:rsidRDefault="006C48F3">
      <w:pPr>
        <w:spacing w:after="222"/>
        <w:ind w:left="6" w:right="0"/>
      </w:pPr>
      <w:r>
        <w:t>9.3.1 工程造价鉴定除应按照有关规定执行常规的编制、审核、审定制度外，</w:t>
      </w:r>
    </w:p>
    <w:p w:rsidR="00B875DD" w:rsidRDefault="006C48F3">
      <w:pPr>
        <w:spacing w:after="222"/>
        <w:ind w:left="6" w:right="0"/>
      </w:pPr>
      <w:r>
        <w:t>还应由3人及以上奇数鉴定人员组成合议组。合议组在讨论的基础上，以少</w:t>
      </w:r>
    </w:p>
    <w:p w:rsidR="00B875DD" w:rsidRDefault="006C48F3">
      <w:pPr>
        <w:spacing w:line="377" w:lineRule="auto"/>
        <w:ind w:left="6" w:right="0"/>
      </w:pPr>
      <w:r>
        <w:t xml:space="preserve">数服从多数的原则确定鉴定方案或结论性意见，讨论中的不同意见，应如实记入讨论会笔录等过程性文件。 </w:t>
      </w:r>
    </w:p>
    <w:p w:rsidR="00B875DD" w:rsidRDefault="006C48F3">
      <w:pPr>
        <w:spacing w:line="410" w:lineRule="auto"/>
        <w:ind w:left="6" w:right="0"/>
      </w:pPr>
      <w:r>
        <w:t xml:space="preserve">9.3.2 在建设工程施工合同约定有效的情况下，鉴定应采用当事人合同约定的计价方法，但当事人另行达成一直约定的除外。 </w:t>
      </w:r>
    </w:p>
    <w:p w:rsidR="00B875DD" w:rsidRDefault="006C48F3">
      <w:pPr>
        <w:spacing w:line="410" w:lineRule="auto"/>
        <w:ind w:left="6" w:right="0"/>
      </w:pPr>
      <w:r>
        <w:t xml:space="preserve">9.3.3 对委托人增加新的鉴定要求、发现有遗漏事项、补充新的鉴定资料等情形，以及鉴定人员因深入了解分歧因素后，发现问题需作出补充鉴定的，鉴定机构应作出补充鉴定意见。 </w:t>
      </w:r>
    </w:p>
    <w:p w:rsidR="00B875DD" w:rsidRDefault="006C48F3">
      <w:pPr>
        <w:spacing w:line="410" w:lineRule="auto"/>
        <w:ind w:left="6" w:right="0"/>
      </w:pPr>
      <w:r>
        <w:t>9.3.4 对工程造价咨询企业或鉴定人员不具备相关的鉴定资格、鉴定程序严重违法、鉴定结论意见明显依据不足、工程造价咨询企业和鉴定人员按规定</w:t>
      </w:r>
    </w:p>
    <w:p w:rsidR="00B875DD" w:rsidRDefault="006C48F3">
      <w:pPr>
        <w:spacing w:line="410" w:lineRule="auto"/>
        <w:ind w:left="6" w:right="0"/>
      </w:pPr>
      <w:r>
        <w:t xml:space="preserve">应回避而没有回避、经过质证认定不能作为证据使用的其他情形等，鉴定委托人可委托具有工程造价咨询资质企业重新鉴定。 </w:t>
      </w:r>
    </w:p>
    <w:p w:rsidR="00B875DD" w:rsidRDefault="006C48F3">
      <w:pPr>
        <w:spacing w:line="410" w:lineRule="auto"/>
        <w:ind w:left="6" w:right="0"/>
      </w:pPr>
      <w:r>
        <w:t xml:space="preserve">9.3.5 鉴定工作应按鉴定委托人要求的期限完成鉴定工程，由于项目情况复杂、当事人不配合等情况，工程造价咨询企业不能在要求的期限内完成鉴定工作时，应按相关法规提前想鉴定委托人申请延长鉴定期限，并应在其允许的延长期限内完成鉴定工作。 </w:t>
      </w:r>
    </w:p>
    <w:p w:rsidR="00B875DD" w:rsidRDefault="006C48F3">
      <w:pPr>
        <w:spacing w:line="410" w:lineRule="auto"/>
        <w:ind w:left="6" w:right="0"/>
      </w:pPr>
      <w:r>
        <w:lastRenderedPageBreak/>
        <w:t xml:space="preserve">9.3.6 对已出具竣工结算审核报告或已形成工程结算审核意见书等成果文件的纠纷项目，经双方当事人同意，对已出具的审核报告或审核意见书中双方无异议的部分可直接采用。 </w:t>
      </w:r>
    </w:p>
    <w:p w:rsidR="00B875DD" w:rsidRDefault="006C48F3">
      <w:pPr>
        <w:spacing w:after="0" w:line="259" w:lineRule="auto"/>
        <w:ind w:left="0" w:right="0" w:firstLine="0"/>
      </w:pPr>
      <w:r>
        <w:br w:type="page"/>
      </w:r>
    </w:p>
    <w:p w:rsidR="00B875DD" w:rsidRDefault="006C48F3">
      <w:pPr>
        <w:spacing w:after="498" w:line="259" w:lineRule="auto"/>
        <w:ind w:left="560" w:right="0" w:firstLine="0"/>
      </w:pPr>
      <w:r>
        <w:lastRenderedPageBreak/>
        <w:t xml:space="preserve"> </w:t>
      </w:r>
    </w:p>
    <w:p w:rsidR="00B875DD" w:rsidRDefault="006C48F3">
      <w:pPr>
        <w:pStyle w:val="2"/>
        <w:ind w:left="466" w:right="144" w:hanging="466"/>
      </w:pPr>
      <w:bookmarkStart w:id="37" w:name="_Toc28370"/>
      <w:r>
        <w:t>成果文件</w:t>
      </w:r>
      <w:r>
        <w:rPr>
          <w:rFonts w:ascii="Cambria" w:eastAsia="Cambria" w:hAnsi="Cambria" w:cs="Cambria"/>
          <w:b/>
        </w:rPr>
        <w:t xml:space="preserve"> </w:t>
      </w:r>
      <w:bookmarkEnd w:id="37"/>
    </w:p>
    <w:p w:rsidR="00B875DD" w:rsidRDefault="006C48F3">
      <w:pPr>
        <w:spacing w:line="410" w:lineRule="auto"/>
        <w:ind w:left="6" w:right="0"/>
      </w:pPr>
      <w:r>
        <w:t xml:space="preserve">9.4.1 工程造价鉴定成果文件应包括鉴定意见书、补充鉴定意见书、补充说明等。鉴定意见书应包括鉴定意见书封面、签署页、目录、鉴定人声明、鉴定意见书正文、有关附件等。其中封面、签署页、鉴定人员声明可按本规范附录J编制。 </w:t>
      </w:r>
    </w:p>
    <w:p w:rsidR="00B875DD" w:rsidRDefault="006C48F3">
      <w:pPr>
        <w:spacing w:line="410" w:lineRule="auto"/>
        <w:ind w:left="6" w:right="0"/>
      </w:pPr>
      <w:r>
        <w:t xml:space="preserve">9.4.2 鉴定人员声明应表明鉴定人员对报告中所陈述事实的真实性和准确性、计算及分析意见和结论意见的公正性负责，对哪些问题不承担责任，对当事人没有利害关系或偏见作出说明。 </w:t>
      </w:r>
    </w:p>
    <w:p w:rsidR="00B875DD" w:rsidRDefault="006C48F3">
      <w:pPr>
        <w:spacing w:after="222"/>
        <w:ind w:left="6" w:right="0"/>
      </w:pPr>
      <w:r>
        <w:t xml:space="preserve">9.4.3 鉴定意见书宜包括下列内容： </w:t>
      </w:r>
    </w:p>
    <w:p w:rsidR="00B875DD" w:rsidRDefault="006C48F3">
      <w:pPr>
        <w:numPr>
          <w:ilvl w:val="0"/>
          <w:numId w:val="37"/>
        </w:numPr>
        <w:spacing w:after="222"/>
        <w:ind w:left="709" w:right="0" w:hanging="281"/>
      </w:pPr>
      <w:r>
        <w:t xml:space="preserve">项目名称； </w:t>
      </w:r>
    </w:p>
    <w:p w:rsidR="00B875DD" w:rsidRDefault="006C48F3">
      <w:pPr>
        <w:numPr>
          <w:ilvl w:val="0"/>
          <w:numId w:val="37"/>
        </w:numPr>
        <w:spacing w:after="222"/>
        <w:ind w:left="709" w:right="0" w:hanging="281"/>
      </w:pPr>
      <w:r>
        <w:t xml:space="preserve">档案号； </w:t>
      </w:r>
    </w:p>
    <w:p w:rsidR="00B875DD" w:rsidRDefault="006C48F3">
      <w:pPr>
        <w:numPr>
          <w:ilvl w:val="0"/>
          <w:numId w:val="37"/>
        </w:numPr>
        <w:spacing w:after="222"/>
        <w:ind w:left="709" w:right="0" w:hanging="281"/>
      </w:pPr>
      <w:r>
        <w:t xml:space="preserve">基本情况； </w:t>
      </w:r>
    </w:p>
    <w:p w:rsidR="00B875DD" w:rsidRDefault="006C48F3">
      <w:pPr>
        <w:numPr>
          <w:ilvl w:val="0"/>
          <w:numId w:val="37"/>
        </w:numPr>
        <w:spacing w:after="222"/>
        <w:ind w:left="709" w:right="0" w:hanging="281"/>
      </w:pPr>
      <w:r>
        <w:t xml:space="preserve">鉴定依据； </w:t>
      </w:r>
    </w:p>
    <w:p w:rsidR="00B875DD" w:rsidRDefault="006C48F3">
      <w:pPr>
        <w:numPr>
          <w:ilvl w:val="0"/>
          <w:numId w:val="37"/>
        </w:numPr>
        <w:spacing w:after="222"/>
        <w:ind w:left="709" w:right="0" w:hanging="281"/>
      </w:pPr>
      <w:r>
        <w:t xml:space="preserve">鉴定过程及分析； </w:t>
      </w:r>
    </w:p>
    <w:p w:rsidR="00B875DD" w:rsidRDefault="006C48F3">
      <w:pPr>
        <w:numPr>
          <w:ilvl w:val="0"/>
          <w:numId w:val="37"/>
        </w:numPr>
        <w:spacing w:after="222"/>
        <w:ind w:left="709" w:right="0" w:hanging="281"/>
      </w:pPr>
      <w:r>
        <w:t xml:space="preserve">鉴定结论意见； </w:t>
      </w:r>
    </w:p>
    <w:p w:rsidR="00B875DD" w:rsidRDefault="006C48F3">
      <w:pPr>
        <w:numPr>
          <w:ilvl w:val="0"/>
          <w:numId w:val="37"/>
        </w:numPr>
        <w:spacing w:after="222"/>
        <w:ind w:left="709" w:right="0" w:hanging="281"/>
      </w:pPr>
      <w:r>
        <w:t xml:space="preserve">特殊说明； </w:t>
      </w:r>
    </w:p>
    <w:p w:rsidR="00B875DD" w:rsidRDefault="006C48F3">
      <w:pPr>
        <w:numPr>
          <w:ilvl w:val="0"/>
          <w:numId w:val="37"/>
        </w:numPr>
        <w:spacing w:after="222"/>
        <w:ind w:left="709" w:right="0" w:hanging="281"/>
      </w:pPr>
      <w:r>
        <w:t xml:space="preserve">工程造价咨询企业出具鉴定意见书的签章； </w:t>
      </w:r>
    </w:p>
    <w:p w:rsidR="00B875DD" w:rsidRDefault="006C48F3">
      <w:pPr>
        <w:numPr>
          <w:ilvl w:val="0"/>
          <w:numId w:val="37"/>
        </w:numPr>
        <w:spacing w:after="222"/>
        <w:ind w:left="709" w:right="0" w:hanging="281"/>
      </w:pPr>
      <w:r>
        <w:t xml:space="preserve">附件。 </w:t>
      </w:r>
    </w:p>
    <w:p w:rsidR="00B875DD" w:rsidRDefault="006C48F3">
      <w:pPr>
        <w:spacing w:after="222"/>
        <w:ind w:left="6" w:right="0"/>
      </w:pPr>
      <w:r>
        <w:t xml:space="preserve">9.4.4 鉴定结论意见可同时包括下列形式： </w:t>
      </w:r>
    </w:p>
    <w:p w:rsidR="00B875DD" w:rsidRDefault="006C48F3">
      <w:pPr>
        <w:numPr>
          <w:ilvl w:val="0"/>
          <w:numId w:val="38"/>
        </w:numPr>
        <w:spacing w:after="273"/>
        <w:ind w:right="64" w:hanging="408"/>
      </w:pPr>
      <w:r>
        <w:lastRenderedPageBreak/>
        <w:t xml:space="preserve">可确定的造价结论意见。当整个鉴定项目事实清楚、依据有力、证据充足时，工程造价咨询企业应出具造价明确的造价鉴定结论意见。 </w:t>
      </w:r>
    </w:p>
    <w:p w:rsidR="00B875DD" w:rsidRDefault="006C48F3">
      <w:pPr>
        <w:numPr>
          <w:ilvl w:val="0"/>
          <w:numId w:val="38"/>
        </w:numPr>
        <w:spacing w:after="281" w:line="259" w:lineRule="auto"/>
        <w:ind w:right="64" w:hanging="408"/>
      </w:pPr>
      <w:r>
        <w:t>无法确定部分项目的造价结论意见。当鉴定项目中有一部分事实不</w:t>
      </w:r>
    </w:p>
    <w:p w:rsidR="00B875DD" w:rsidRDefault="006C48F3">
      <w:pPr>
        <w:spacing w:after="404" w:line="410" w:lineRule="auto"/>
        <w:ind w:left="435" w:right="0"/>
      </w:pPr>
      <w:r>
        <w:t xml:space="preserve">清、证据不足或依据缺乏，且当事人争议较大无法达成妥协，工程造价咨询企业依据现有条件无法做出准确判断时，工程造价咨询企业可提交无法确定部分项目的造价结论意见。 </w:t>
      </w:r>
    </w:p>
    <w:p w:rsidR="00B875DD" w:rsidRDefault="006C48F3">
      <w:pPr>
        <w:spacing w:after="0" w:line="259" w:lineRule="auto"/>
        <w:ind w:left="0" w:right="1" w:firstLine="0"/>
        <w:jc w:val="center"/>
      </w:pPr>
      <w:r>
        <w:t xml:space="preserve"> </w:t>
      </w:r>
    </w:p>
    <w:sectPr w:rsidR="00B875DD">
      <w:headerReference w:type="even" r:id="rId28"/>
      <w:headerReference w:type="default" r:id="rId29"/>
      <w:footerReference w:type="even" r:id="rId30"/>
      <w:footerReference w:type="default" r:id="rId31"/>
      <w:headerReference w:type="first" r:id="rId32"/>
      <w:footerReference w:type="first" r:id="rId33"/>
      <w:pgSz w:w="11906" w:h="16838"/>
      <w:pgMar w:top="2063" w:right="902" w:bottom="1498" w:left="1622" w:header="852" w:footer="9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A41" w:rsidRDefault="00A07A41">
      <w:pPr>
        <w:spacing w:after="0" w:line="240" w:lineRule="auto"/>
      </w:pPr>
      <w:r>
        <w:separator/>
      </w:r>
    </w:p>
  </w:endnote>
  <w:endnote w:type="continuationSeparator" w:id="0">
    <w:p w:rsidR="00A07A41" w:rsidRDefault="00A07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B875DD">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6C48F3">
    <w:pPr>
      <w:spacing w:after="0" w:line="259" w:lineRule="auto"/>
      <w:ind w:left="0" w:right="22"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10</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6C48F3">
    <w:pPr>
      <w:spacing w:after="0" w:line="259" w:lineRule="auto"/>
      <w:ind w:left="0" w:right="22" w:firstLine="0"/>
      <w:jc w:val="center"/>
    </w:pPr>
    <w:r>
      <w:fldChar w:fldCharType="begin"/>
    </w:r>
    <w:r>
      <w:instrText xml:space="preserve"> PAGE   \* MERGEFORMAT </w:instrText>
    </w:r>
    <w:r>
      <w:fldChar w:fldCharType="separate"/>
    </w:r>
    <w:r w:rsidR="003B15AA" w:rsidRPr="003B15AA">
      <w:rPr>
        <w:rFonts w:ascii="Times New Roman" w:eastAsia="Times New Roman" w:hAnsi="Times New Roman" w:cs="Times New Roman"/>
        <w:noProof/>
        <w:sz w:val="18"/>
      </w:rPr>
      <w:t>56</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6C48F3">
    <w:pPr>
      <w:spacing w:after="0" w:line="259" w:lineRule="auto"/>
      <w:ind w:left="0" w:right="22"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10</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B875DD">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B875DD">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6C48F3">
    <w:pPr>
      <w:spacing w:after="0" w:line="259" w:lineRule="auto"/>
      <w:ind w:left="0" w:right="12"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10</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6C48F3">
    <w:pPr>
      <w:spacing w:after="0" w:line="259" w:lineRule="auto"/>
      <w:ind w:left="0" w:right="12" w:firstLine="0"/>
      <w:jc w:val="center"/>
    </w:pPr>
    <w:r>
      <w:fldChar w:fldCharType="begin"/>
    </w:r>
    <w:r>
      <w:instrText xml:space="preserve"> PAGE   \* MERGEFORMAT </w:instrText>
    </w:r>
    <w:r>
      <w:fldChar w:fldCharType="separate"/>
    </w:r>
    <w:r w:rsidR="003B15AA" w:rsidRPr="003B15AA">
      <w:rPr>
        <w:rFonts w:ascii="Times New Roman" w:eastAsia="Times New Roman" w:hAnsi="Times New Roman" w:cs="Times New Roman"/>
        <w:noProof/>
        <w:sz w:val="18"/>
      </w:rPr>
      <w:t>23</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6C48F3">
    <w:pPr>
      <w:spacing w:after="0" w:line="259" w:lineRule="auto"/>
      <w:ind w:left="0" w:right="12"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10</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6C48F3">
    <w:pPr>
      <w:spacing w:after="0" w:line="259" w:lineRule="auto"/>
      <w:ind w:left="0" w:right="141"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27</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6C48F3">
    <w:pPr>
      <w:spacing w:after="0" w:line="259" w:lineRule="auto"/>
      <w:ind w:left="0" w:right="141" w:firstLine="0"/>
      <w:jc w:val="center"/>
    </w:pPr>
    <w:r>
      <w:fldChar w:fldCharType="begin"/>
    </w:r>
    <w:r>
      <w:instrText xml:space="preserve"> PAGE   \* MERGEFORMAT </w:instrText>
    </w:r>
    <w:r>
      <w:fldChar w:fldCharType="separate"/>
    </w:r>
    <w:r w:rsidR="003B15AA" w:rsidRPr="003B15AA">
      <w:rPr>
        <w:rFonts w:ascii="Times New Roman" w:eastAsia="Times New Roman" w:hAnsi="Times New Roman" w:cs="Times New Roman"/>
        <w:noProof/>
        <w:sz w:val="18"/>
      </w:rPr>
      <w:t>52</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6C48F3">
    <w:pPr>
      <w:spacing w:after="0" w:line="259" w:lineRule="auto"/>
      <w:ind w:left="0" w:right="141" w:firstLine="0"/>
      <w:jc w:val="center"/>
    </w:pPr>
    <w:r>
      <w:fldChar w:fldCharType="begin"/>
    </w:r>
    <w:r>
      <w:instrText xml:space="preserve"> PAGE   \* MERGEFORMAT </w:instrText>
    </w:r>
    <w:r>
      <w:fldChar w:fldCharType="separate"/>
    </w:r>
    <w:r>
      <w:rPr>
        <w:rFonts w:ascii="Times New Roman" w:eastAsia="Times New Roman" w:hAnsi="Times New Roman" w:cs="Times New Roman"/>
        <w:sz w:val="18"/>
      </w:rPr>
      <w:t>27</w:t>
    </w:r>
    <w:r>
      <w:rPr>
        <w:rFonts w:ascii="Times New Roman" w:eastAsia="Times New Roman" w:hAnsi="Times New Roman" w:cs="Times New Roman"/>
        <w:sz w:val="18"/>
      </w:rPr>
      <w:fldChar w:fldCharType="end"/>
    </w:r>
    <w:r>
      <w:rPr>
        <w:rFonts w:ascii="Times New Roman" w:eastAsia="Times New Roman" w:hAnsi="Times New Roman" w:cs="Times New Roman"/>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A41" w:rsidRDefault="00A07A41">
      <w:pPr>
        <w:spacing w:after="0" w:line="240" w:lineRule="auto"/>
      </w:pPr>
      <w:r>
        <w:separator/>
      </w:r>
    </w:p>
  </w:footnote>
  <w:footnote w:type="continuationSeparator" w:id="0">
    <w:p w:rsidR="00A07A41" w:rsidRDefault="00A07A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6C48F3">
    <w:pPr>
      <w:spacing w:after="0" w:line="259" w:lineRule="auto"/>
      <w:ind w:left="-1622" w:right="124"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1011936</wp:posOffset>
              </wp:positionH>
              <wp:positionV relativeFrom="page">
                <wp:posOffset>541020</wp:posOffset>
              </wp:positionV>
              <wp:extent cx="5980176" cy="673646"/>
              <wp:effectExtent l="0" t="0" r="0" b="0"/>
              <wp:wrapSquare wrapText="bothSides"/>
              <wp:docPr id="27494" name="Group 27494"/>
              <wp:cNvGraphicFramePr/>
              <a:graphic xmlns:a="http://schemas.openxmlformats.org/drawingml/2006/main">
                <a:graphicData uri="http://schemas.microsoft.com/office/word/2010/wordprocessingGroup">
                  <wpg:wgp>
                    <wpg:cNvGrpSpPr/>
                    <wpg:grpSpPr>
                      <a:xfrm>
                        <a:off x="0" y="0"/>
                        <a:ext cx="5980176" cy="673646"/>
                        <a:chOff x="0" y="0"/>
                        <a:chExt cx="5980176" cy="673646"/>
                      </a:xfrm>
                    </wpg:grpSpPr>
                    <pic:pic xmlns:pic="http://schemas.openxmlformats.org/drawingml/2006/picture">
                      <pic:nvPicPr>
                        <pic:cNvPr id="27495" name="Picture 27495"/>
                        <pic:cNvPicPr/>
                      </pic:nvPicPr>
                      <pic:blipFill>
                        <a:blip r:embed="rId1"/>
                        <a:stretch>
                          <a:fillRect/>
                        </a:stretch>
                      </pic:blipFill>
                      <pic:spPr>
                        <a:xfrm>
                          <a:off x="2669793" y="0"/>
                          <a:ext cx="638809" cy="638810"/>
                        </a:xfrm>
                        <a:prstGeom prst="rect">
                          <a:avLst/>
                        </a:prstGeom>
                      </pic:spPr>
                    </pic:pic>
                    <wps:wsp>
                      <wps:cNvPr id="27497" name="Rectangle 27497"/>
                      <wps:cNvSpPr/>
                      <wps:spPr>
                        <a:xfrm>
                          <a:off x="3308604" y="519684"/>
                          <a:ext cx="38005" cy="204769"/>
                        </a:xfrm>
                        <a:prstGeom prst="rect">
                          <a:avLst/>
                        </a:prstGeom>
                        <a:ln>
                          <a:noFill/>
                        </a:ln>
                      </wps:spPr>
                      <wps:txbx>
                        <w:txbxContent>
                          <w:p w:rsidR="00B875DD" w:rsidRDefault="006C48F3">
                            <w:pPr>
                              <w:spacing w:after="160" w:line="259" w:lineRule="auto"/>
                              <w:ind w:left="0" w:righ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29008" name="Shape 29008"/>
                      <wps:cNvSpPr/>
                      <wps:spPr>
                        <a:xfrm>
                          <a:off x="0" y="650749"/>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494" style="width:470.88pt;height:53.043pt;position:absolute;mso-position-horizontal-relative:page;mso-position-horizontal:absolute;margin-left:79.68pt;mso-position-vertical-relative:page;margin-top:42.6pt;" coordsize="59801,6736">
              <v:shape id="Picture 27495" style="position:absolute;width:6388;height:6388;left:26697;top:0;" filled="f">
                <v:imagedata r:id="rId32"/>
              </v:shape>
              <v:rect id="Rectangle 27497" style="position:absolute;width:380;height:2047;left:33086;top:5196;" filled="f" stroked="f">
                <v:textbox inset="0,0,0,0">
                  <w:txbxContent>
                    <w:p>
                      <w:pPr>
                        <w:spacing w:before="0" w:after="160" w:line="259" w:lineRule="auto"/>
                        <w:ind w:left="0" w:right="0" w:firstLine="0"/>
                      </w:pPr>
                      <w:r>
                        <w:rPr>
                          <w:rFonts w:cs="Times New Roman" w:hAnsi="Times New Roman" w:eastAsia="Times New Roman" w:ascii="Times New Roman"/>
                          <w:sz w:val="18"/>
                        </w:rPr>
                        <w:t xml:space="preserve"> </w:t>
                      </w:r>
                    </w:p>
                  </w:txbxContent>
                </v:textbox>
              </v:rect>
              <v:shape id="Shape 29009" style="position:absolute;width:59801;height:91;left:0;top:6507;" coordsize="5980176,9144" path="m0,0l5980176,0l5980176,9144l0,9144l0,0">
                <v:stroke weight="0pt" endcap="flat" joinstyle="miter" miterlimit="10" on="false" color="#000000" opacity="0"/>
                <v:fill on="true" color="#000000"/>
              </v:shape>
              <w10:wrap type="squar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6C48F3">
    <w:pPr>
      <w:spacing w:after="0" w:line="259" w:lineRule="auto"/>
      <w:ind w:left="-1622" w:right="11004"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1011936</wp:posOffset>
              </wp:positionH>
              <wp:positionV relativeFrom="page">
                <wp:posOffset>541020</wp:posOffset>
              </wp:positionV>
              <wp:extent cx="5980176" cy="673646"/>
              <wp:effectExtent l="0" t="0" r="0" b="0"/>
              <wp:wrapSquare wrapText="bothSides"/>
              <wp:docPr id="27632" name="Group 27632"/>
              <wp:cNvGraphicFramePr/>
              <a:graphic xmlns:a="http://schemas.openxmlformats.org/drawingml/2006/main">
                <a:graphicData uri="http://schemas.microsoft.com/office/word/2010/wordprocessingGroup">
                  <wpg:wgp>
                    <wpg:cNvGrpSpPr/>
                    <wpg:grpSpPr>
                      <a:xfrm>
                        <a:off x="0" y="0"/>
                        <a:ext cx="5980176" cy="673646"/>
                        <a:chOff x="0" y="0"/>
                        <a:chExt cx="5980176" cy="673646"/>
                      </a:xfrm>
                    </wpg:grpSpPr>
                    <pic:pic xmlns:pic="http://schemas.openxmlformats.org/drawingml/2006/picture">
                      <pic:nvPicPr>
                        <pic:cNvPr id="27633" name="Picture 27633"/>
                        <pic:cNvPicPr/>
                      </pic:nvPicPr>
                      <pic:blipFill>
                        <a:blip r:embed="rId1"/>
                        <a:stretch>
                          <a:fillRect/>
                        </a:stretch>
                      </pic:blipFill>
                      <pic:spPr>
                        <a:xfrm>
                          <a:off x="2669793" y="0"/>
                          <a:ext cx="638809" cy="638810"/>
                        </a:xfrm>
                        <a:prstGeom prst="rect">
                          <a:avLst/>
                        </a:prstGeom>
                      </pic:spPr>
                    </pic:pic>
                    <wps:wsp>
                      <wps:cNvPr id="27635" name="Rectangle 27635"/>
                      <wps:cNvSpPr/>
                      <wps:spPr>
                        <a:xfrm>
                          <a:off x="3308604" y="519684"/>
                          <a:ext cx="38005" cy="204769"/>
                        </a:xfrm>
                        <a:prstGeom prst="rect">
                          <a:avLst/>
                        </a:prstGeom>
                        <a:ln>
                          <a:noFill/>
                        </a:ln>
                      </wps:spPr>
                      <wps:txbx>
                        <w:txbxContent>
                          <w:p w:rsidR="00B875DD" w:rsidRDefault="006C48F3">
                            <w:pPr>
                              <w:spacing w:after="160" w:line="259" w:lineRule="auto"/>
                              <w:ind w:left="0" w:righ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29026" name="Shape 29026"/>
                      <wps:cNvSpPr/>
                      <wps:spPr>
                        <a:xfrm>
                          <a:off x="0" y="650749"/>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632" style="width:470.88pt;height:53.043pt;position:absolute;mso-position-horizontal-relative:page;mso-position-horizontal:absolute;margin-left:79.68pt;mso-position-vertical-relative:page;margin-top:42.6pt;" coordsize="59801,6736">
              <v:shape id="Picture 27633" style="position:absolute;width:6388;height:6388;left:26697;top:0;" filled="f">
                <v:imagedata r:id="rId32"/>
              </v:shape>
              <v:rect id="Rectangle 27635" style="position:absolute;width:380;height:2047;left:33086;top:5196;" filled="f" stroked="f">
                <v:textbox inset="0,0,0,0">
                  <w:txbxContent>
                    <w:p>
                      <w:pPr>
                        <w:spacing w:before="0" w:after="160" w:line="259" w:lineRule="auto"/>
                        <w:ind w:left="0" w:right="0" w:firstLine="0"/>
                      </w:pPr>
                      <w:r>
                        <w:rPr>
                          <w:rFonts w:cs="Times New Roman" w:hAnsi="Times New Roman" w:eastAsia="Times New Roman" w:ascii="Times New Roman"/>
                          <w:sz w:val="18"/>
                        </w:rPr>
                        <w:t xml:space="preserve"> </w:t>
                      </w:r>
                    </w:p>
                  </w:txbxContent>
                </v:textbox>
              </v:rect>
              <v:shape id="Shape 29027" style="position:absolute;width:59801;height:91;left:0;top:6507;" coordsize="5980176,9144" path="m0,0l5980176,0l5980176,9144l0,9144l0,0">
                <v:stroke weight="0pt" endcap="flat" joinstyle="miter" miterlimit="10" on="false" color="#000000" opacity="0"/>
                <v:fill on="true" color="#000000"/>
              </v:shape>
              <w10:wrap type="squar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B875DD">
    <w:pPr>
      <w:spacing w:after="0" w:line="259" w:lineRule="auto"/>
      <w:ind w:left="-1622" w:right="11004" w:firstLine="0"/>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6C48F3">
    <w:pPr>
      <w:spacing w:after="0" w:line="259" w:lineRule="auto"/>
      <w:ind w:left="-1622" w:right="11004"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1011936</wp:posOffset>
              </wp:positionH>
              <wp:positionV relativeFrom="page">
                <wp:posOffset>541020</wp:posOffset>
              </wp:positionV>
              <wp:extent cx="5980176" cy="673646"/>
              <wp:effectExtent l="0" t="0" r="0" b="0"/>
              <wp:wrapSquare wrapText="bothSides"/>
              <wp:docPr id="27602" name="Group 27602"/>
              <wp:cNvGraphicFramePr/>
              <a:graphic xmlns:a="http://schemas.openxmlformats.org/drawingml/2006/main">
                <a:graphicData uri="http://schemas.microsoft.com/office/word/2010/wordprocessingGroup">
                  <wpg:wgp>
                    <wpg:cNvGrpSpPr/>
                    <wpg:grpSpPr>
                      <a:xfrm>
                        <a:off x="0" y="0"/>
                        <a:ext cx="5980176" cy="673646"/>
                        <a:chOff x="0" y="0"/>
                        <a:chExt cx="5980176" cy="673646"/>
                      </a:xfrm>
                    </wpg:grpSpPr>
                    <pic:pic xmlns:pic="http://schemas.openxmlformats.org/drawingml/2006/picture">
                      <pic:nvPicPr>
                        <pic:cNvPr id="27603" name="Picture 27603"/>
                        <pic:cNvPicPr/>
                      </pic:nvPicPr>
                      <pic:blipFill>
                        <a:blip r:embed="rId1"/>
                        <a:stretch>
                          <a:fillRect/>
                        </a:stretch>
                      </pic:blipFill>
                      <pic:spPr>
                        <a:xfrm>
                          <a:off x="2669793" y="0"/>
                          <a:ext cx="638809" cy="638810"/>
                        </a:xfrm>
                        <a:prstGeom prst="rect">
                          <a:avLst/>
                        </a:prstGeom>
                      </pic:spPr>
                    </pic:pic>
                    <wps:wsp>
                      <wps:cNvPr id="27605" name="Rectangle 27605"/>
                      <wps:cNvSpPr/>
                      <wps:spPr>
                        <a:xfrm>
                          <a:off x="3308604" y="519684"/>
                          <a:ext cx="38005" cy="204769"/>
                        </a:xfrm>
                        <a:prstGeom prst="rect">
                          <a:avLst/>
                        </a:prstGeom>
                        <a:ln>
                          <a:noFill/>
                        </a:ln>
                      </wps:spPr>
                      <wps:txbx>
                        <w:txbxContent>
                          <w:p w:rsidR="00B875DD" w:rsidRDefault="006C48F3">
                            <w:pPr>
                              <w:spacing w:after="160" w:line="259" w:lineRule="auto"/>
                              <w:ind w:left="0" w:righ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29022" name="Shape 29022"/>
                      <wps:cNvSpPr/>
                      <wps:spPr>
                        <a:xfrm>
                          <a:off x="0" y="650749"/>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602" style="width:470.88pt;height:53.043pt;position:absolute;mso-position-horizontal-relative:page;mso-position-horizontal:absolute;margin-left:79.68pt;mso-position-vertical-relative:page;margin-top:42.6pt;" coordsize="59801,6736">
              <v:shape id="Picture 27603" style="position:absolute;width:6388;height:6388;left:26697;top:0;" filled="f">
                <v:imagedata r:id="rId32"/>
              </v:shape>
              <v:rect id="Rectangle 27605" style="position:absolute;width:380;height:2047;left:33086;top:5196;" filled="f" stroked="f">
                <v:textbox inset="0,0,0,0">
                  <w:txbxContent>
                    <w:p>
                      <w:pPr>
                        <w:spacing w:before="0" w:after="160" w:line="259" w:lineRule="auto"/>
                        <w:ind w:left="0" w:right="0" w:firstLine="0"/>
                      </w:pPr>
                      <w:r>
                        <w:rPr>
                          <w:rFonts w:cs="Times New Roman" w:hAnsi="Times New Roman" w:eastAsia="Times New Roman" w:ascii="Times New Roman"/>
                          <w:sz w:val="18"/>
                        </w:rPr>
                        <w:t xml:space="preserve"> </w:t>
                      </w:r>
                    </w:p>
                  </w:txbxContent>
                </v:textbox>
              </v:rect>
              <v:shape id="Shape 29023" style="position:absolute;width:59801;height:91;left:0;top:6507;" coordsize="5980176,9144" path="m0,0l5980176,0l5980176,9144l0,9144l0,0">
                <v:stroke weight="0pt" endcap="flat" joinstyle="miter" miterlimit="10" on="false" color="#000000" opacity="0"/>
                <v:fill on="true" color="#000000"/>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B875DD">
    <w:pPr>
      <w:spacing w:after="0" w:line="259" w:lineRule="auto"/>
      <w:ind w:left="-1622" w:right="124"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6C48F3">
    <w:pPr>
      <w:spacing w:after="0" w:line="259" w:lineRule="auto"/>
      <w:ind w:left="-1622" w:right="124"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1011936</wp:posOffset>
              </wp:positionH>
              <wp:positionV relativeFrom="page">
                <wp:posOffset>541020</wp:posOffset>
              </wp:positionV>
              <wp:extent cx="5980176" cy="673646"/>
              <wp:effectExtent l="0" t="0" r="0" b="0"/>
              <wp:wrapSquare wrapText="bothSides"/>
              <wp:docPr id="27476" name="Group 27476"/>
              <wp:cNvGraphicFramePr/>
              <a:graphic xmlns:a="http://schemas.openxmlformats.org/drawingml/2006/main">
                <a:graphicData uri="http://schemas.microsoft.com/office/word/2010/wordprocessingGroup">
                  <wpg:wgp>
                    <wpg:cNvGrpSpPr/>
                    <wpg:grpSpPr>
                      <a:xfrm>
                        <a:off x="0" y="0"/>
                        <a:ext cx="5980176" cy="673646"/>
                        <a:chOff x="0" y="0"/>
                        <a:chExt cx="5980176" cy="673646"/>
                      </a:xfrm>
                    </wpg:grpSpPr>
                    <pic:pic xmlns:pic="http://schemas.openxmlformats.org/drawingml/2006/picture">
                      <pic:nvPicPr>
                        <pic:cNvPr id="27477" name="Picture 27477"/>
                        <pic:cNvPicPr/>
                      </pic:nvPicPr>
                      <pic:blipFill>
                        <a:blip r:embed="rId1"/>
                        <a:stretch>
                          <a:fillRect/>
                        </a:stretch>
                      </pic:blipFill>
                      <pic:spPr>
                        <a:xfrm>
                          <a:off x="2669793" y="0"/>
                          <a:ext cx="638809" cy="638810"/>
                        </a:xfrm>
                        <a:prstGeom prst="rect">
                          <a:avLst/>
                        </a:prstGeom>
                      </pic:spPr>
                    </pic:pic>
                    <wps:wsp>
                      <wps:cNvPr id="27479" name="Rectangle 27479"/>
                      <wps:cNvSpPr/>
                      <wps:spPr>
                        <a:xfrm>
                          <a:off x="3308604" y="519684"/>
                          <a:ext cx="38005" cy="204769"/>
                        </a:xfrm>
                        <a:prstGeom prst="rect">
                          <a:avLst/>
                        </a:prstGeom>
                        <a:ln>
                          <a:noFill/>
                        </a:ln>
                      </wps:spPr>
                      <wps:txbx>
                        <w:txbxContent>
                          <w:p w:rsidR="00B875DD" w:rsidRDefault="006C48F3">
                            <w:pPr>
                              <w:spacing w:after="160" w:line="259" w:lineRule="auto"/>
                              <w:ind w:left="0" w:righ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29004" name="Shape 29004"/>
                      <wps:cNvSpPr/>
                      <wps:spPr>
                        <a:xfrm>
                          <a:off x="0" y="650749"/>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476" style="width:470.88pt;height:53.043pt;position:absolute;mso-position-horizontal-relative:page;mso-position-horizontal:absolute;margin-left:79.68pt;mso-position-vertical-relative:page;margin-top:42.6pt;" coordsize="59801,6736">
              <v:shape id="Picture 27477" style="position:absolute;width:6388;height:6388;left:26697;top:0;" filled="f">
                <v:imagedata r:id="rId32"/>
              </v:shape>
              <v:rect id="Rectangle 27479" style="position:absolute;width:380;height:2047;left:33086;top:5196;" filled="f" stroked="f">
                <v:textbox inset="0,0,0,0">
                  <w:txbxContent>
                    <w:p>
                      <w:pPr>
                        <w:spacing w:before="0" w:after="160" w:line="259" w:lineRule="auto"/>
                        <w:ind w:left="0" w:right="0" w:firstLine="0"/>
                      </w:pPr>
                      <w:r>
                        <w:rPr>
                          <w:rFonts w:cs="Times New Roman" w:hAnsi="Times New Roman" w:eastAsia="Times New Roman" w:ascii="Times New Roman"/>
                          <w:sz w:val="18"/>
                        </w:rPr>
                        <w:t xml:space="preserve"> </w:t>
                      </w:r>
                    </w:p>
                  </w:txbxContent>
                </v:textbox>
              </v:rect>
              <v:shape id="Shape 29005" style="position:absolute;width:59801;height:91;left:0;top:6507;" coordsize="5980176,9144" path="m0,0l5980176,0l5980176,9144l0,9144l0,0">
                <v:stroke weight="0pt" endcap="flat" joinstyle="miter" miterlimit="10" on="false" color="#000000" opacity="0"/>
                <v:fill on="true" color="#000000"/>
              </v:shape>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6C48F3">
    <w:pPr>
      <w:spacing w:after="0" w:line="259" w:lineRule="auto"/>
      <w:ind w:left="-1609" w:right="11007"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1011936</wp:posOffset>
              </wp:positionH>
              <wp:positionV relativeFrom="page">
                <wp:posOffset>541020</wp:posOffset>
              </wp:positionV>
              <wp:extent cx="5980176" cy="673646"/>
              <wp:effectExtent l="0" t="0" r="0" b="0"/>
              <wp:wrapSquare wrapText="bothSides"/>
              <wp:docPr id="27534" name="Group 27534"/>
              <wp:cNvGraphicFramePr/>
              <a:graphic xmlns:a="http://schemas.openxmlformats.org/drawingml/2006/main">
                <a:graphicData uri="http://schemas.microsoft.com/office/word/2010/wordprocessingGroup">
                  <wpg:wgp>
                    <wpg:cNvGrpSpPr/>
                    <wpg:grpSpPr>
                      <a:xfrm>
                        <a:off x="0" y="0"/>
                        <a:ext cx="5980176" cy="673646"/>
                        <a:chOff x="0" y="0"/>
                        <a:chExt cx="5980176" cy="673646"/>
                      </a:xfrm>
                    </wpg:grpSpPr>
                    <pic:pic xmlns:pic="http://schemas.openxmlformats.org/drawingml/2006/picture">
                      <pic:nvPicPr>
                        <pic:cNvPr id="27535" name="Picture 27535"/>
                        <pic:cNvPicPr/>
                      </pic:nvPicPr>
                      <pic:blipFill>
                        <a:blip r:embed="rId1"/>
                        <a:stretch>
                          <a:fillRect/>
                        </a:stretch>
                      </pic:blipFill>
                      <pic:spPr>
                        <a:xfrm>
                          <a:off x="2669793" y="0"/>
                          <a:ext cx="638809" cy="638810"/>
                        </a:xfrm>
                        <a:prstGeom prst="rect">
                          <a:avLst/>
                        </a:prstGeom>
                      </pic:spPr>
                    </pic:pic>
                    <wps:wsp>
                      <wps:cNvPr id="27537" name="Rectangle 27537"/>
                      <wps:cNvSpPr/>
                      <wps:spPr>
                        <a:xfrm>
                          <a:off x="3308604" y="519684"/>
                          <a:ext cx="38005" cy="204769"/>
                        </a:xfrm>
                        <a:prstGeom prst="rect">
                          <a:avLst/>
                        </a:prstGeom>
                        <a:ln>
                          <a:noFill/>
                        </a:ln>
                      </wps:spPr>
                      <wps:txbx>
                        <w:txbxContent>
                          <w:p w:rsidR="00B875DD" w:rsidRDefault="006C48F3">
                            <w:pPr>
                              <w:spacing w:after="160" w:line="259" w:lineRule="auto"/>
                              <w:ind w:left="0" w:righ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29014" name="Shape 29014"/>
                      <wps:cNvSpPr/>
                      <wps:spPr>
                        <a:xfrm>
                          <a:off x="0" y="650749"/>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534" style="width:470.88pt;height:53.043pt;position:absolute;mso-position-horizontal-relative:page;mso-position-horizontal:absolute;margin-left:79.68pt;mso-position-vertical-relative:page;margin-top:42.6pt;" coordsize="59801,6736">
              <v:shape id="Picture 27535" style="position:absolute;width:6388;height:6388;left:26697;top:0;" filled="f">
                <v:imagedata r:id="rId32"/>
              </v:shape>
              <v:rect id="Rectangle 27537" style="position:absolute;width:380;height:2047;left:33086;top:5196;" filled="f" stroked="f">
                <v:textbox inset="0,0,0,0">
                  <w:txbxContent>
                    <w:p>
                      <w:pPr>
                        <w:spacing w:before="0" w:after="160" w:line="259" w:lineRule="auto"/>
                        <w:ind w:left="0" w:right="0" w:firstLine="0"/>
                      </w:pPr>
                      <w:r>
                        <w:rPr>
                          <w:rFonts w:cs="Times New Roman" w:hAnsi="Times New Roman" w:eastAsia="Times New Roman" w:ascii="Times New Roman"/>
                          <w:sz w:val="18"/>
                        </w:rPr>
                        <w:t xml:space="preserve"> </w:t>
                      </w:r>
                    </w:p>
                  </w:txbxContent>
                </v:textbox>
              </v:rect>
              <v:shape id="Shape 29015" style="position:absolute;width:59801;height:91;left:0;top:6507;" coordsize="5980176,9144" path="m0,0l5980176,0l5980176,9144l0,9144l0,0">
                <v:stroke weight="0pt" endcap="flat" joinstyle="miter" miterlimit="10" on="false" color="#000000" opacity="0"/>
                <v:fill on="true" color="#000000"/>
              </v:shape>
              <w10:wrap type="squar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B875DD">
    <w:pPr>
      <w:spacing w:after="0" w:line="259" w:lineRule="auto"/>
      <w:ind w:left="-1609" w:right="11007" w:firstLine="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6C48F3">
    <w:pPr>
      <w:spacing w:after="0" w:line="259" w:lineRule="auto"/>
      <w:ind w:left="-1609" w:right="11007"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1011936</wp:posOffset>
              </wp:positionH>
              <wp:positionV relativeFrom="page">
                <wp:posOffset>541020</wp:posOffset>
              </wp:positionV>
              <wp:extent cx="5980176" cy="673646"/>
              <wp:effectExtent l="0" t="0" r="0" b="0"/>
              <wp:wrapSquare wrapText="bothSides"/>
              <wp:docPr id="27504" name="Group 27504"/>
              <wp:cNvGraphicFramePr/>
              <a:graphic xmlns:a="http://schemas.openxmlformats.org/drawingml/2006/main">
                <a:graphicData uri="http://schemas.microsoft.com/office/word/2010/wordprocessingGroup">
                  <wpg:wgp>
                    <wpg:cNvGrpSpPr/>
                    <wpg:grpSpPr>
                      <a:xfrm>
                        <a:off x="0" y="0"/>
                        <a:ext cx="5980176" cy="673646"/>
                        <a:chOff x="0" y="0"/>
                        <a:chExt cx="5980176" cy="673646"/>
                      </a:xfrm>
                    </wpg:grpSpPr>
                    <pic:pic xmlns:pic="http://schemas.openxmlformats.org/drawingml/2006/picture">
                      <pic:nvPicPr>
                        <pic:cNvPr id="27505" name="Picture 27505"/>
                        <pic:cNvPicPr/>
                      </pic:nvPicPr>
                      <pic:blipFill>
                        <a:blip r:embed="rId1"/>
                        <a:stretch>
                          <a:fillRect/>
                        </a:stretch>
                      </pic:blipFill>
                      <pic:spPr>
                        <a:xfrm>
                          <a:off x="2669793" y="0"/>
                          <a:ext cx="638809" cy="638810"/>
                        </a:xfrm>
                        <a:prstGeom prst="rect">
                          <a:avLst/>
                        </a:prstGeom>
                      </pic:spPr>
                    </pic:pic>
                    <wps:wsp>
                      <wps:cNvPr id="27507" name="Rectangle 27507"/>
                      <wps:cNvSpPr/>
                      <wps:spPr>
                        <a:xfrm>
                          <a:off x="3308604" y="519684"/>
                          <a:ext cx="38005" cy="204769"/>
                        </a:xfrm>
                        <a:prstGeom prst="rect">
                          <a:avLst/>
                        </a:prstGeom>
                        <a:ln>
                          <a:noFill/>
                        </a:ln>
                      </wps:spPr>
                      <wps:txbx>
                        <w:txbxContent>
                          <w:p w:rsidR="00B875DD" w:rsidRDefault="006C48F3">
                            <w:pPr>
                              <w:spacing w:after="160" w:line="259" w:lineRule="auto"/>
                              <w:ind w:left="0" w:righ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29010" name="Shape 29010"/>
                      <wps:cNvSpPr/>
                      <wps:spPr>
                        <a:xfrm>
                          <a:off x="0" y="650749"/>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504" style="width:470.88pt;height:53.043pt;position:absolute;mso-position-horizontal-relative:page;mso-position-horizontal:absolute;margin-left:79.68pt;mso-position-vertical-relative:page;margin-top:42.6pt;" coordsize="59801,6736">
              <v:shape id="Picture 27505" style="position:absolute;width:6388;height:6388;left:26697;top:0;" filled="f">
                <v:imagedata r:id="rId32"/>
              </v:shape>
              <v:rect id="Rectangle 27507" style="position:absolute;width:380;height:2047;left:33086;top:5196;" filled="f" stroked="f">
                <v:textbox inset="0,0,0,0">
                  <w:txbxContent>
                    <w:p>
                      <w:pPr>
                        <w:spacing w:before="0" w:after="160" w:line="259" w:lineRule="auto"/>
                        <w:ind w:left="0" w:right="0" w:firstLine="0"/>
                      </w:pPr>
                      <w:r>
                        <w:rPr>
                          <w:rFonts w:cs="Times New Roman" w:hAnsi="Times New Roman" w:eastAsia="Times New Roman" w:ascii="Times New Roman"/>
                          <w:sz w:val="18"/>
                        </w:rPr>
                        <w:t xml:space="preserve"> </w:t>
                      </w:r>
                    </w:p>
                  </w:txbxContent>
                </v:textbox>
              </v:rect>
              <v:shape id="Shape 29011" style="position:absolute;width:59801;height:91;left:0;top:6507;" coordsize="5980176,9144" path="m0,0l5980176,0l5980176,9144l0,9144l0,0">
                <v:stroke weight="0pt" endcap="flat" joinstyle="miter" miterlimit="10" on="false" color="#000000" opacity="0"/>
                <v:fill on="true" color="#000000"/>
              </v:shape>
              <w10:wrap type="squar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6C48F3">
    <w:pPr>
      <w:spacing w:after="0" w:line="259" w:lineRule="auto"/>
      <w:ind w:left="-1794" w:right="115"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1123188</wp:posOffset>
              </wp:positionH>
              <wp:positionV relativeFrom="page">
                <wp:posOffset>541020</wp:posOffset>
              </wp:positionV>
              <wp:extent cx="5446776" cy="673646"/>
              <wp:effectExtent l="0" t="0" r="0" b="0"/>
              <wp:wrapSquare wrapText="bothSides"/>
              <wp:docPr id="27583" name="Group 27583"/>
              <wp:cNvGraphicFramePr/>
              <a:graphic xmlns:a="http://schemas.openxmlformats.org/drawingml/2006/main">
                <a:graphicData uri="http://schemas.microsoft.com/office/word/2010/wordprocessingGroup">
                  <wpg:wgp>
                    <wpg:cNvGrpSpPr/>
                    <wpg:grpSpPr>
                      <a:xfrm>
                        <a:off x="0" y="0"/>
                        <a:ext cx="5446776" cy="673646"/>
                        <a:chOff x="0" y="0"/>
                        <a:chExt cx="5446776" cy="673646"/>
                      </a:xfrm>
                    </wpg:grpSpPr>
                    <pic:pic xmlns:pic="http://schemas.openxmlformats.org/drawingml/2006/picture">
                      <pic:nvPicPr>
                        <pic:cNvPr id="27584" name="Picture 27584"/>
                        <pic:cNvPicPr/>
                      </pic:nvPicPr>
                      <pic:blipFill>
                        <a:blip r:embed="rId1"/>
                        <a:stretch>
                          <a:fillRect/>
                        </a:stretch>
                      </pic:blipFill>
                      <pic:spPr>
                        <a:xfrm>
                          <a:off x="2403601" y="0"/>
                          <a:ext cx="638175" cy="638810"/>
                        </a:xfrm>
                        <a:prstGeom prst="rect">
                          <a:avLst/>
                        </a:prstGeom>
                      </pic:spPr>
                    </pic:pic>
                    <wps:wsp>
                      <wps:cNvPr id="27586" name="Rectangle 27586"/>
                      <wps:cNvSpPr/>
                      <wps:spPr>
                        <a:xfrm>
                          <a:off x="3041904" y="519684"/>
                          <a:ext cx="38005" cy="204769"/>
                        </a:xfrm>
                        <a:prstGeom prst="rect">
                          <a:avLst/>
                        </a:prstGeom>
                        <a:ln>
                          <a:noFill/>
                        </a:ln>
                      </wps:spPr>
                      <wps:txbx>
                        <w:txbxContent>
                          <w:p w:rsidR="00B875DD" w:rsidRDefault="006C48F3">
                            <w:pPr>
                              <w:spacing w:after="160" w:line="259" w:lineRule="auto"/>
                              <w:ind w:left="0" w:righ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29020" name="Shape 29020"/>
                      <wps:cNvSpPr/>
                      <wps:spPr>
                        <a:xfrm>
                          <a:off x="0" y="650749"/>
                          <a:ext cx="5446776" cy="9144"/>
                        </a:xfrm>
                        <a:custGeom>
                          <a:avLst/>
                          <a:gdLst/>
                          <a:ahLst/>
                          <a:cxnLst/>
                          <a:rect l="0" t="0" r="0" b="0"/>
                          <a:pathLst>
                            <a:path w="5446776" h="9144">
                              <a:moveTo>
                                <a:pt x="0" y="0"/>
                              </a:moveTo>
                              <a:lnTo>
                                <a:pt x="5446776" y="0"/>
                              </a:lnTo>
                              <a:lnTo>
                                <a:pt x="5446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583" style="width:428.88pt;height:53.043pt;position:absolute;mso-position-horizontal-relative:page;mso-position-horizontal:absolute;margin-left:88.44pt;mso-position-vertical-relative:page;margin-top:42.6pt;" coordsize="54467,6736">
              <v:shape id="Picture 27584" style="position:absolute;width:6381;height:6388;left:24036;top:0;" filled="f">
                <v:imagedata r:id="rId32"/>
              </v:shape>
              <v:rect id="Rectangle 27586" style="position:absolute;width:380;height:2047;left:30419;top:5196;" filled="f" stroked="f">
                <v:textbox inset="0,0,0,0">
                  <w:txbxContent>
                    <w:p>
                      <w:pPr>
                        <w:spacing w:before="0" w:after="160" w:line="259" w:lineRule="auto"/>
                        <w:ind w:left="0" w:right="0" w:firstLine="0"/>
                      </w:pPr>
                      <w:r>
                        <w:rPr>
                          <w:rFonts w:cs="Times New Roman" w:hAnsi="Times New Roman" w:eastAsia="Times New Roman" w:ascii="Times New Roman"/>
                          <w:sz w:val="18"/>
                        </w:rPr>
                        <w:t xml:space="preserve"> </w:t>
                      </w:r>
                    </w:p>
                  </w:txbxContent>
                </v:textbox>
              </v:rect>
              <v:shape id="Shape 29021" style="position:absolute;width:54467;height:91;left:0;top:6507;" coordsize="5446776,9144" path="m0,0l5446776,0l5446776,9144l0,9144l0,0">
                <v:stroke weight="0pt" endcap="flat" joinstyle="miter" miterlimit="10" on="false" color="#000000" opacity="0"/>
                <v:fill on="true" color="#000000"/>
              </v:shape>
              <w10:wrap type="squar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Pr="0062208E" w:rsidRDefault="00B875DD" w:rsidP="0062208E">
    <w:pPr>
      <w:pStyle w:val="a3"/>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5DD" w:rsidRDefault="006C48F3">
    <w:pPr>
      <w:spacing w:after="0" w:line="259" w:lineRule="auto"/>
      <w:ind w:left="-1794" w:right="115"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1123188</wp:posOffset>
              </wp:positionH>
              <wp:positionV relativeFrom="page">
                <wp:posOffset>541020</wp:posOffset>
              </wp:positionV>
              <wp:extent cx="5446776" cy="673646"/>
              <wp:effectExtent l="0" t="0" r="0" b="0"/>
              <wp:wrapSquare wrapText="bothSides"/>
              <wp:docPr id="27553" name="Group 27553"/>
              <wp:cNvGraphicFramePr/>
              <a:graphic xmlns:a="http://schemas.openxmlformats.org/drawingml/2006/main">
                <a:graphicData uri="http://schemas.microsoft.com/office/word/2010/wordprocessingGroup">
                  <wpg:wgp>
                    <wpg:cNvGrpSpPr/>
                    <wpg:grpSpPr>
                      <a:xfrm>
                        <a:off x="0" y="0"/>
                        <a:ext cx="5446776" cy="673646"/>
                        <a:chOff x="0" y="0"/>
                        <a:chExt cx="5446776" cy="673646"/>
                      </a:xfrm>
                    </wpg:grpSpPr>
                    <pic:pic xmlns:pic="http://schemas.openxmlformats.org/drawingml/2006/picture">
                      <pic:nvPicPr>
                        <pic:cNvPr id="27554" name="Picture 27554"/>
                        <pic:cNvPicPr/>
                      </pic:nvPicPr>
                      <pic:blipFill>
                        <a:blip r:embed="rId1"/>
                        <a:stretch>
                          <a:fillRect/>
                        </a:stretch>
                      </pic:blipFill>
                      <pic:spPr>
                        <a:xfrm>
                          <a:off x="2403601" y="0"/>
                          <a:ext cx="638175" cy="638810"/>
                        </a:xfrm>
                        <a:prstGeom prst="rect">
                          <a:avLst/>
                        </a:prstGeom>
                      </pic:spPr>
                    </pic:pic>
                    <wps:wsp>
                      <wps:cNvPr id="27556" name="Rectangle 27556"/>
                      <wps:cNvSpPr/>
                      <wps:spPr>
                        <a:xfrm>
                          <a:off x="3041904" y="519684"/>
                          <a:ext cx="38005" cy="204769"/>
                        </a:xfrm>
                        <a:prstGeom prst="rect">
                          <a:avLst/>
                        </a:prstGeom>
                        <a:ln>
                          <a:noFill/>
                        </a:ln>
                      </wps:spPr>
                      <wps:txbx>
                        <w:txbxContent>
                          <w:p w:rsidR="00B875DD" w:rsidRDefault="006C48F3">
                            <w:pPr>
                              <w:spacing w:after="160" w:line="259" w:lineRule="auto"/>
                              <w:ind w:left="0" w:right="0" w:firstLine="0"/>
                            </w:pPr>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29016" name="Shape 29016"/>
                      <wps:cNvSpPr/>
                      <wps:spPr>
                        <a:xfrm>
                          <a:off x="0" y="650749"/>
                          <a:ext cx="5446776" cy="9144"/>
                        </a:xfrm>
                        <a:custGeom>
                          <a:avLst/>
                          <a:gdLst/>
                          <a:ahLst/>
                          <a:cxnLst/>
                          <a:rect l="0" t="0" r="0" b="0"/>
                          <a:pathLst>
                            <a:path w="5446776" h="9144">
                              <a:moveTo>
                                <a:pt x="0" y="0"/>
                              </a:moveTo>
                              <a:lnTo>
                                <a:pt x="5446776" y="0"/>
                              </a:lnTo>
                              <a:lnTo>
                                <a:pt x="5446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7553" style="width:428.88pt;height:53.043pt;position:absolute;mso-position-horizontal-relative:page;mso-position-horizontal:absolute;margin-left:88.44pt;mso-position-vertical-relative:page;margin-top:42.6pt;" coordsize="54467,6736">
              <v:shape id="Picture 27554" style="position:absolute;width:6381;height:6388;left:24036;top:0;" filled="f">
                <v:imagedata r:id="rId32"/>
              </v:shape>
              <v:rect id="Rectangle 27556" style="position:absolute;width:380;height:2047;left:30419;top:5196;" filled="f" stroked="f">
                <v:textbox inset="0,0,0,0">
                  <w:txbxContent>
                    <w:p>
                      <w:pPr>
                        <w:spacing w:before="0" w:after="160" w:line="259" w:lineRule="auto"/>
                        <w:ind w:left="0" w:right="0" w:firstLine="0"/>
                      </w:pPr>
                      <w:r>
                        <w:rPr>
                          <w:rFonts w:cs="Times New Roman" w:hAnsi="Times New Roman" w:eastAsia="Times New Roman" w:ascii="Times New Roman"/>
                          <w:sz w:val="18"/>
                        </w:rPr>
                        <w:t xml:space="preserve"> </w:t>
                      </w:r>
                    </w:p>
                  </w:txbxContent>
                </v:textbox>
              </v:rect>
              <v:shape id="Shape 29017" style="position:absolute;width:54467;height:91;left:0;top:6507;" coordsize="5446776,9144" path="m0,0l5446776,0l5446776,9144l0,9144l0,0">
                <v:stroke weight="0pt" endcap="flat" joinstyle="miter" miterlimit="10" on="false" color="#000000" opacity="0"/>
                <v:fill on="true" color="#000000"/>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0DCB"/>
    <w:multiLevelType w:val="hybridMultilevel"/>
    <w:tmpl w:val="CC5EB488"/>
    <w:lvl w:ilvl="0" w:tplc="3F12166A">
      <w:start w:val="1"/>
      <w:numFmt w:val="decimal"/>
      <w:lvlText w:val="%1"/>
      <w:lvlJc w:val="left"/>
      <w:pPr>
        <w:ind w:left="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56A0B2">
      <w:start w:val="1"/>
      <w:numFmt w:val="lowerLetter"/>
      <w:lvlText w:val="%2"/>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CD6A6A8">
      <w:start w:val="1"/>
      <w:numFmt w:val="lowerRoman"/>
      <w:lvlText w:val="%3"/>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208408">
      <w:start w:val="1"/>
      <w:numFmt w:val="decimal"/>
      <w:lvlText w:val="%4"/>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609AB8">
      <w:start w:val="1"/>
      <w:numFmt w:val="lowerLetter"/>
      <w:lvlText w:val="%5"/>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FEADD6">
      <w:start w:val="1"/>
      <w:numFmt w:val="lowerRoman"/>
      <w:lvlText w:val="%6"/>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8A0C26">
      <w:start w:val="1"/>
      <w:numFmt w:val="decimal"/>
      <w:lvlText w:val="%7"/>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48DE82">
      <w:start w:val="1"/>
      <w:numFmt w:val="lowerLetter"/>
      <w:lvlText w:val="%8"/>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E82C78">
      <w:start w:val="1"/>
      <w:numFmt w:val="lowerRoman"/>
      <w:lvlText w:val="%9"/>
      <w:lvlJc w:val="left"/>
      <w:pPr>
        <w:ind w:left="6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B22E83"/>
    <w:multiLevelType w:val="hybridMultilevel"/>
    <w:tmpl w:val="4A7CD5FC"/>
    <w:lvl w:ilvl="0" w:tplc="A9581CC6">
      <w:start w:val="1"/>
      <w:numFmt w:val="decimal"/>
      <w:lvlText w:val="%1"/>
      <w:lvlJc w:val="left"/>
      <w:pPr>
        <w:ind w:left="1263"/>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3086FE1E">
      <w:start w:val="1"/>
      <w:numFmt w:val="lowerLetter"/>
      <w:lvlText w:val="%2"/>
      <w:lvlJc w:val="left"/>
      <w:pPr>
        <w:ind w:left="206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90E06EC0">
      <w:start w:val="1"/>
      <w:numFmt w:val="lowerRoman"/>
      <w:lvlText w:val="%3"/>
      <w:lvlJc w:val="left"/>
      <w:pPr>
        <w:ind w:left="278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40E62680">
      <w:start w:val="1"/>
      <w:numFmt w:val="decimal"/>
      <w:lvlText w:val="%4"/>
      <w:lvlJc w:val="left"/>
      <w:pPr>
        <w:ind w:left="350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4C92D4A4">
      <w:start w:val="1"/>
      <w:numFmt w:val="lowerLetter"/>
      <w:lvlText w:val="%5"/>
      <w:lvlJc w:val="left"/>
      <w:pPr>
        <w:ind w:left="422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1C60DA0A">
      <w:start w:val="1"/>
      <w:numFmt w:val="lowerRoman"/>
      <w:lvlText w:val="%6"/>
      <w:lvlJc w:val="left"/>
      <w:pPr>
        <w:ind w:left="494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4C7A3274">
      <w:start w:val="1"/>
      <w:numFmt w:val="decimal"/>
      <w:lvlText w:val="%7"/>
      <w:lvlJc w:val="left"/>
      <w:pPr>
        <w:ind w:left="566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D4788592">
      <w:start w:val="1"/>
      <w:numFmt w:val="lowerLetter"/>
      <w:lvlText w:val="%8"/>
      <w:lvlJc w:val="left"/>
      <w:pPr>
        <w:ind w:left="638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9D5ECF2C">
      <w:start w:val="1"/>
      <w:numFmt w:val="lowerRoman"/>
      <w:lvlText w:val="%9"/>
      <w:lvlJc w:val="left"/>
      <w:pPr>
        <w:ind w:left="710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833441A"/>
    <w:multiLevelType w:val="hybridMultilevel"/>
    <w:tmpl w:val="B014925E"/>
    <w:lvl w:ilvl="0" w:tplc="A90E03DA">
      <w:start w:val="1"/>
      <w:numFmt w:val="decimal"/>
      <w:lvlText w:val="%1"/>
      <w:lvlJc w:val="left"/>
      <w:pPr>
        <w:ind w:left="712"/>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1E60C48E">
      <w:start w:val="1"/>
      <w:numFmt w:val="lowerLetter"/>
      <w:lvlText w:val="%2"/>
      <w:lvlJc w:val="left"/>
      <w:pPr>
        <w:ind w:left="150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EEC816FE">
      <w:start w:val="1"/>
      <w:numFmt w:val="lowerRoman"/>
      <w:lvlText w:val="%3"/>
      <w:lvlJc w:val="left"/>
      <w:pPr>
        <w:ind w:left="222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61E2ACF0">
      <w:start w:val="1"/>
      <w:numFmt w:val="decimal"/>
      <w:lvlText w:val="%4"/>
      <w:lvlJc w:val="left"/>
      <w:pPr>
        <w:ind w:left="294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E020DDCA">
      <w:start w:val="1"/>
      <w:numFmt w:val="lowerLetter"/>
      <w:lvlText w:val="%5"/>
      <w:lvlJc w:val="left"/>
      <w:pPr>
        <w:ind w:left="366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15DE49F0">
      <w:start w:val="1"/>
      <w:numFmt w:val="lowerRoman"/>
      <w:lvlText w:val="%6"/>
      <w:lvlJc w:val="left"/>
      <w:pPr>
        <w:ind w:left="438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CF82272A">
      <w:start w:val="1"/>
      <w:numFmt w:val="decimal"/>
      <w:lvlText w:val="%7"/>
      <w:lvlJc w:val="left"/>
      <w:pPr>
        <w:ind w:left="510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D39E0476">
      <w:start w:val="1"/>
      <w:numFmt w:val="lowerLetter"/>
      <w:lvlText w:val="%8"/>
      <w:lvlJc w:val="left"/>
      <w:pPr>
        <w:ind w:left="582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62023B40">
      <w:start w:val="1"/>
      <w:numFmt w:val="lowerRoman"/>
      <w:lvlText w:val="%9"/>
      <w:lvlJc w:val="left"/>
      <w:pPr>
        <w:ind w:left="654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BCB19D2"/>
    <w:multiLevelType w:val="hybridMultilevel"/>
    <w:tmpl w:val="A1246CA0"/>
    <w:lvl w:ilvl="0" w:tplc="BDBA0B16">
      <w:start w:val="1"/>
      <w:numFmt w:val="decimal"/>
      <w:lvlText w:val="%1"/>
      <w:lvlJc w:val="left"/>
      <w:pPr>
        <w:ind w:left="1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843056">
      <w:start w:val="1"/>
      <w:numFmt w:val="lowerLetter"/>
      <w:lvlText w:val="%2"/>
      <w:lvlJc w:val="left"/>
      <w:pPr>
        <w:ind w:left="2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929D20">
      <w:start w:val="1"/>
      <w:numFmt w:val="lowerRoman"/>
      <w:lvlText w:val="%3"/>
      <w:lvlJc w:val="left"/>
      <w:pPr>
        <w:ind w:left="3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2634B6">
      <w:start w:val="1"/>
      <w:numFmt w:val="decimal"/>
      <w:lvlText w:val="%4"/>
      <w:lvlJc w:val="left"/>
      <w:pPr>
        <w:ind w:left="3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D4B88C">
      <w:start w:val="1"/>
      <w:numFmt w:val="lowerLetter"/>
      <w:lvlText w:val="%5"/>
      <w:lvlJc w:val="left"/>
      <w:pPr>
        <w:ind w:left="4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F1CEF14">
      <w:start w:val="1"/>
      <w:numFmt w:val="lowerRoman"/>
      <w:lvlText w:val="%6"/>
      <w:lvlJc w:val="left"/>
      <w:pPr>
        <w:ind w:left="5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440642">
      <w:start w:val="1"/>
      <w:numFmt w:val="decimal"/>
      <w:lvlText w:val="%7"/>
      <w:lvlJc w:val="left"/>
      <w:pPr>
        <w:ind w:left="5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58C9F6">
      <w:start w:val="1"/>
      <w:numFmt w:val="lowerLetter"/>
      <w:lvlText w:val="%8"/>
      <w:lvlJc w:val="left"/>
      <w:pPr>
        <w:ind w:left="6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A38081C">
      <w:start w:val="1"/>
      <w:numFmt w:val="lowerRoman"/>
      <w:lvlText w:val="%9"/>
      <w:lvlJc w:val="left"/>
      <w:pPr>
        <w:ind w:left="7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E686C1A"/>
    <w:multiLevelType w:val="hybridMultilevel"/>
    <w:tmpl w:val="0102E618"/>
    <w:lvl w:ilvl="0" w:tplc="E47AB724">
      <w:start w:val="1"/>
      <w:numFmt w:val="decimal"/>
      <w:lvlText w:val="%1"/>
      <w:lvlJc w:val="left"/>
      <w:pPr>
        <w:ind w:left="1275"/>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563249D4">
      <w:start w:val="1"/>
      <w:numFmt w:val="lowerLetter"/>
      <w:lvlText w:val="%2"/>
      <w:lvlJc w:val="left"/>
      <w:pPr>
        <w:ind w:left="207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C05CFFBE">
      <w:start w:val="1"/>
      <w:numFmt w:val="lowerRoman"/>
      <w:lvlText w:val="%3"/>
      <w:lvlJc w:val="left"/>
      <w:pPr>
        <w:ind w:left="279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A356C1D6">
      <w:start w:val="1"/>
      <w:numFmt w:val="decimal"/>
      <w:lvlText w:val="%4"/>
      <w:lvlJc w:val="left"/>
      <w:pPr>
        <w:ind w:left="351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A52E88FA">
      <w:start w:val="1"/>
      <w:numFmt w:val="lowerLetter"/>
      <w:lvlText w:val="%5"/>
      <w:lvlJc w:val="left"/>
      <w:pPr>
        <w:ind w:left="423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5630DD0C">
      <w:start w:val="1"/>
      <w:numFmt w:val="lowerRoman"/>
      <w:lvlText w:val="%6"/>
      <w:lvlJc w:val="left"/>
      <w:pPr>
        <w:ind w:left="495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D392FFAA">
      <w:start w:val="1"/>
      <w:numFmt w:val="decimal"/>
      <w:lvlText w:val="%7"/>
      <w:lvlJc w:val="left"/>
      <w:pPr>
        <w:ind w:left="567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EA4AB174">
      <w:start w:val="1"/>
      <w:numFmt w:val="lowerLetter"/>
      <w:lvlText w:val="%8"/>
      <w:lvlJc w:val="left"/>
      <w:pPr>
        <w:ind w:left="639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3642F8F2">
      <w:start w:val="1"/>
      <w:numFmt w:val="lowerRoman"/>
      <w:lvlText w:val="%9"/>
      <w:lvlJc w:val="left"/>
      <w:pPr>
        <w:ind w:left="711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ED06C8F"/>
    <w:multiLevelType w:val="hybridMultilevel"/>
    <w:tmpl w:val="E31AE696"/>
    <w:lvl w:ilvl="0" w:tplc="A7CA83B2">
      <w:start w:val="1"/>
      <w:numFmt w:val="decimal"/>
      <w:lvlText w:val="%1"/>
      <w:lvlJc w:val="left"/>
      <w:pPr>
        <w:ind w:left="1705"/>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C5A86B76">
      <w:start w:val="1"/>
      <w:numFmt w:val="lowerLetter"/>
      <w:lvlText w:val="%2"/>
      <w:lvlJc w:val="left"/>
      <w:pPr>
        <w:ind w:left="235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FC5877B8">
      <w:start w:val="1"/>
      <w:numFmt w:val="lowerRoman"/>
      <w:lvlText w:val="%3"/>
      <w:lvlJc w:val="left"/>
      <w:pPr>
        <w:ind w:left="307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3994569A">
      <w:start w:val="1"/>
      <w:numFmt w:val="decimal"/>
      <w:lvlText w:val="%4"/>
      <w:lvlJc w:val="left"/>
      <w:pPr>
        <w:ind w:left="379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C2D2A32E">
      <w:start w:val="1"/>
      <w:numFmt w:val="lowerLetter"/>
      <w:lvlText w:val="%5"/>
      <w:lvlJc w:val="left"/>
      <w:pPr>
        <w:ind w:left="451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C01C9E46">
      <w:start w:val="1"/>
      <w:numFmt w:val="lowerRoman"/>
      <w:lvlText w:val="%6"/>
      <w:lvlJc w:val="left"/>
      <w:pPr>
        <w:ind w:left="523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8196FDE2">
      <w:start w:val="1"/>
      <w:numFmt w:val="decimal"/>
      <w:lvlText w:val="%7"/>
      <w:lvlJc w:val="left"/>
      <w:pPr>
        <w:ind w:left="595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615456B2">
      <w:start w:val="1"/>
      <w:numFmt w:val="lowerLetter"/>
      <w:lvlText w:val="%8"/>
      <w:lvlJc w:val="left"/>
      <w:pPr>
        <w:ind w:left="667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6F42C764">
      <w:start w:val="1"/>
      <w:numFmt w:val="lowerRoman"/>
      <w:lvlText w:val="%9"/>
      <w:lvlJc w:val="left"/>
      <w:pPr>
        <w:ind w:left="739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1441137"/>
    <w:multiLevelType w:val="hybridMultilevel"/>
    <w:tmpl w:val="5B6CD5C0"/>
    <w:lvl w:ilvl="0" w:tplc="D0C46DC6">
      <w:start w:val="1"/>
      <w:numFmt w:val="decimal"/>
      <w:lvlText w:val="%1"/>
      <w:lvlJc w:val="left"/>
      <w:pPr>
        <w:ind w:left="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BF54B564">
      <w:start w:val="1"/>
      <w:numFmt w:val="lowerLetter"/>
      <w:lvlText w:val="%2"/>
      <w:lvlJc w:val="left"/>
      <w:pPr>
        <w:ind w:left="164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6C70A7F0">
      <w:start w:val="1"/>
      <w:numFmt w:val="lowerRoman"/>
      <w:lvlText w:val="%3"/>
      <w:lvlJc w:val="left"/>
      <w:pPr>
        <w:ind w:left="236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52585566">
      <w:start w:val="1"/>
      <w:numFmt w:val="decimal"/>
      <w:lvlText w:val="%4"/>
      <w:lvlJc w:val="left"/>
      <w:pPr>
        <w:ind w:left="308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93CEC09E">
      <w:start w:val="1"/>
      <w:numFmt w:val="lowerLetter"/>
      <w:lvlText w:val="%5"/>
      <w:lvlJc w:val="left"/>
      <w:pPr>
        <w:ind w:left="380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0DF618A8">
      <w:start w:val="1"/>
      <w:numFmt w:val="lowerRoman"/>
      <w:lvlText w:val="%6"/>
      <w:lvlJc w:val="left"/>
      <w:pPr>
        <w:ind w:left="452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38BAAA54">
      <w:start w:val="1"/>
      <w:numFmt w:val="decimal"/>
      <w:lvlText w:val="%7"/>
      <w:lvlJc w:val="left"/>
      <w:pPr>
        <w:ind w:left="524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05C25756">
      <w:start w:val="1"/>
      <w:numFmt w:val="lowerLetter"/>
      <w:lvlText w:val="%8"/>
      <w:lvlJc w:val="left"/>
      <w:pPr>
        <w:ind w:left="596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FAEA7B7A">
      <w:start w:val="1"/>
      <w:numFmt w:val="lowerRoman"/>
      <w:lvlText w:val="%9"/>
      <w:lvlJc w:val="left"/>
      <w:pPr>
        <w:ind w:left="668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5B9179A"/>
    <w:multiLevelType w:val="hybridMultilevel"/>
    <w:tmpl w:val="3CA4E234"/>
    <w:lvl w:ilvl="0" w:tplc="875EA7DA">
      <w:start w:val="1"/>
      <w:numFmt w:val="decimal"/>
      <w:lvlText w:val="%1"/>
      <w:lvlJc w:val="left"/>
      <w:pPr>
        <w:ind w:left="113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F9166FAE">
      <w:start w:val="1"/>
      <w:numFmt w:val="lowerLetter"/>
      <w:lvlText w:val="%2"/>
      <w:lvlJc w:val="left"/>
      <w:pPr>
        <w:ind w:left="178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C5C481D0">
      <w:start w:val="1"/>
      <w:numFmt w:val="lowerRoman"/>
      <w:lvlText w:val="%3"/>
      <w:lvlJc w:val="left"/>
      <w:pPr>
        <w:ind w:left="250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98A80504">
      <w:start w:val="1"/>
      <w:numFmt w:val="decimal"/>
      <w:lvlText w:val="%4"/>
      <w:lvlJc w:val="left"/>
      <w:pPr>
        <w:ind w:left="322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EC900230">
      <w:start w:val="1"/>
      <w:numFmt w:val="lowerLetter"/>
      <w:lvlText w:val="%5"/>
      <w:lvlJc w:val="left"/>
      <w:pPr>
        <w:ind w:left="394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6448AB28">
      <w:start w:val="1"/>
      <w:numFmt w:val="lowerRoman"/>
      <w:lvlText w:val="%6"/>
      <w:lvlJc w:val="left"/>
      <w:pPr>
        <w:ind w:left="466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9ED0088A">
      <w:start w:val="1"/>
      <w:numFmt w:val="decimal"/>
      <w:lvlText w:val="%7"/>
      <w:lvlJc w:val="left"/>
      <w:pPr>
        <w:ind w:left="538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EFC29074">
      <w:start w:val="1"/>
      <w:numFmt w:val="lowerLetter"/>
      <w:lvlText w:val="%8"/>
      <w:lvlJc w:val="left"/>
      <w:pPr>
        <w:ind w:left="610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525606C6">
      <w:start w:val="1"/>
      <w:numFmt w:val="lowerRoman"/>
      <w:lvlText w:val="%9"/>
      <w:lvlJc w:val="left"/>
      <w:pPr>
        <w:ind w:left="682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6F86CDD"/>
    <w:multiLevelType w:val="hybridMultilevel"/>
    <w:tmpl w:val="4434D8F4"/>
    <w:lvl w:ilvl="0" w:tplc="8D3A73DA">
      <w:start w:val="1"/>
      <w:numFmt w:val="decimal"/>
      <w:lvlText w:val="%1"/>
      <w:lvlJc w:val="left"/>
      <w:pPr>
        <w:ind w:left="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F58C9106">
      <w:start w:val="1"/>
      <w:numFmt w:val="lowerLetter"/>
      <w:lvlText w:val="%2"/>
      <w:lvlJc w:val="left"/>
      <w:pPr>
        <w:ind w:left="164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12C09CD0">
      <w:start w:val="1"/>
      <w:numFmt w:val="lowerRoman"/>
      <w:lvlText w:val="%3"/>
      <w:lvlJc w:val="left"/>
      <w:pPr>
        <w:ind w:left="236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875C34B8">
      <w:start w:val="1"/>
      <w:numFmt w:val="decimal"/>
      <w:lvlText w:val="%4"/>
      <w:lvlJc w:val="left"/>
      <w:pPr>
        <w:ind w:left="308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C69CD612">
      <w:start w:val="1"/>
      <w:numFmt w:val="lowerLetter"/>
      <w:lvlText w:val="%5"/>
      <w:lvlJc w:val="left"/>
      <w:pPr>
        <w:ind w:left="380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FE0A86EE">
      <w:start w:val="1"/>
      <w:numFmt w:val="lowerRoman"/>
      <w:lvlText w:val="%6"/>
      <w:lvlJc w:val="left"/>
      <w:pPr>
        <w:ind w:left="452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C9CC5150">
      <w:start w:val="1"/>
      <w:numFmt w:val="decimal"/>
      <w:lvlText w:val="%7"/>
      <w:lvlJc w:val="left"/>
      <w:pPr>
        <w:ind w:left="524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F7F88730">
      <w:start w:val="1"/>
      <w:numFmt w:val="lowerLetter"/>
      <w:lvlText w:val="%8"/>
      <w:lvlJc w:val="left"/>
      <w:pPr>
        <w:ind w:left="596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E378F67E">
      <w:start w:val="1"/>
      <w:numFmt w:val="lowerRoman"/>
      <w:lvlText w:val="%9"/>
      <w:lvlJc w:val="left"/>
      <w:pPr>
        <w:ind w:left="668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6AE0E45"/>
    <w:multiLevelType w:val="hybridMultilevel"/>
    <w:tmpl w:val="35C88722"/>
    <w:lvl w:ilvl="0" w:tplc="C8F4BF68">
      <w:start w:val="1"/>
      <w:numFmt w:val="decimal"/>
      <w:lvlText w:val="%1"/>
      <w:lvlJc w:val="left"/>
      <w:pPr>
        <w:ind w:left="113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ACEE9626">
      <w:start w:val="1"/>
      <w:numFmt w:val="lowerLetter"/>
      <w:lvlText w:val="%2"/>
      <w:lvlJc w:val="left"/>
      <w:pPr>
        <w:ind w:left="178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BAFA8C9A">
      <w:start w:val="1"/>
      <w:numFmt w:val="lowerRoman"/>
      <w:lvlText w:val="%3"/>
      <w:lvlJc w:val="left"/>
      <w:pPr>
        <w:ind w:left="250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861EC34A">
      <w:start w:val="1"/>
      <w:numFmt w:val="decimal"/>
      <w:lvlText w:val="%4"/>
      <w:lvlJc w:val="left"/>
      <w:pPr>
        <w:ind w:left="322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8E06224C">
      <w:start w:val="1"/>
      <w:numFmt w:val="lowerLetter"/>
      <w:lvlText w:val="%5"/>
      <w:lvlJc w:val="left"/>
      <w:pPr>
        <w:ind w:left="394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130E599E">
      <w:start w:val="1"/>
      <w:numFmt w:val="lowerRoman"/>
      <w:lvlText w:val="%6"/>
      <w:lvlJc w:val="left"/>
      <w:pPr>
        <w:ind w:left="466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8E9EBF72">
      <w:start w:val="1"/>
      <w:numFmt w:val="decimal"/>
      <w:lvlText w:val="%7"/>
      <w:lvlJc w:val="left"/>
      <w:pPr>
        <w:ind w:left="538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06343CBC">
      <w:start w:val="1"/>
      <w:numFmt w:val="lowerLetter"/>
      <w:lvlText w:val="%8"/>
      <w:lvlJc w:val="left"/>
      <w:pPr>
        <w:ind w:left="610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8CEEE97A">
      <w:start w:val="1"/>
      <w:numFmt w:val="lowerRoman"/>
      <w:lvlText w:val="%9"/>
      <w:lvlJc w:val="left"/>
      <w:pPr>
        <w:ind w:left="682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28667CDB"/>
    <w:multiLevelType w:val="hybridMultilevel"/>
    <w:tmpl w:val="701A13B4"/>
    <w:lvl w:ilvl="0" w:tplc="6144D4BE">
      <w:start w:val="1"/>
      <w:numFmt w:val="decimal"/>
      <w:lvlText w:val="%1"/>
      <w:lvlJc w:val="left"/>
      <w:pPr>
        <w:ind w:left="992"/>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309C4C3A">
      <w:start w:val="1"/>
      <w:numFmt w:val="lowerLetter"/>
      <w:lvlText w:val="%2"/>
      <w:lvlJc w:val="left"/>
      <w:pPr>
        <w:ind w:left="178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A8A8C4FA">
      <w:start w:val="1"/>
      <w:numFmt w:val="lowerRoman"/>
      <w:lvlText w:val="%3"/>
      <w:lvlJc w:val="left"/>
      <w:pPr>
        <w:ind w:left="250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4BA67CFA">
      <w:start w:val="1"/>
      <w:numFmt w:val="decimal"/>
      <w:lvlText w:val="%4"/>
      <w:lvlJc w:val="left"/>
      <w:pPr>
        <w:ind w:left="322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F46C5E56">
      <w:start w:val="1"/>
      <w:numFmt w:val="lowerLetter"/>
      <w:lvlText w:val="%5"/>
      <w:lvlJc w:val="left"/>
      <w:pPr>
        <w:ind w:left="394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9734537C">
      <w:start w:val="1"/>
      <w:numFmt w:val="lowerRoman"/>
      <w:lvlText w:val="%6"/>
      <w:lvlJc w:val="left"/>
      <w:pPr>
        <w:ind w:left="466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22986E4E">
      <w:start w:val="1"/>
      <w:numFmt w:val="decimal"/>
      <w:lvlText w:val="%7"/>
      <w:lvlJc w:val="left"/>
      <w:pPr>
        <w:ind w:left="538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38683A30">
      <w:start w:val="1"/>
      <w:numFmt w:val="lowerLetter"/>
      <w:lvlText w:val="%8"/>
      <w:lvlJc w:val="left"/>
      <w:pPr>
        <w:ind w:left="610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9B9C5936">
      <w:start w:val="1"/>
      <w:numFmt w:val="lowerRoman"/>
      <w:lvlText w:val="%9"/>
      <w:lvlJc w:val="left"/>
      <w:pPr>
        <w:ind w:left="682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8C84D68"/>
    <w:multiLevelType w:val="hybridMultilevel"/>
    <w:tmpl w:val="BCD4BCC4"/>
    <w:lvl w:ilvl="0" w:tplc="5B88F148">
      <w:start w:val="1"/>
      <w:numFmt w:val="decimal"/>
      <w:lvlText w:val="%1"/>
      <w:lvlJc w:val="left"/>
      <w:pPr>
        <w:ind w:left="983"/>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1248C358">
      <w:start w:val="1"/>
      <w:numFmt w:val="lowerLetter"/>
      <w:lvlText w:val="%2"/>
      <w:lvlJc w:val="left"/>
      <w:pPr>
        <w:ind w:left="2063"/>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B47C9514">
      <w:start w:val="1"/>
      <w:numFmt w:val="lowerRoman"/>
      <w:lvlText w:val="%3"/>
      <w:lvlJc w:val="left"/>
      <w:pPr>
        <w:ind w:left="2783"/>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BE6CC83E">
      <w:start w:val="1"/>
      <w:numFmt w:val="decimal"/>
      <w:lvlText w:val="%4"/>
      <w:lvlJc w:val="left"/>
      <w:pPr>
        <w:ind w:left="3503"/>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A49C7A5C">
      <w:start w:val="1"/>
      <w:numFmt w:val="lowerLetter"/>
      <w:lvlText w:val="%5"/>
      <w:lvlJc w:val="left"/>
      <w:pPr>
        <w:ind w:left="4223"/>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8386437E">
      <w:start w:val="1"/>
      <w:numFmt w:val="lowerRoman"/>
      <w:lvlText w:val="%6"/>
      <w:lvlJc w:val="left"/>
      <w:pPr>
        <w:ind w:left="4943"/>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C89C7DBC">
      <w:start w:val="1"/>
      <w:numFmt w:val="decimal"/>
      <w:lvlText w:val="%7"/>
      <w:lvlJc w:val="left"/>
      <w:pPr>
        <w:ind w:left="5663"/>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2E4EC9D2">
      <w:start w:val="1"/>
      <w:numFmt w:val="lowerLetter"/>
      <w:lvlText w:val="%8"/>
      <w:lvlJc w:val="left"/>
      <w:pPr>
        <w:ind w:left="6383"/>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09066B3A">
      <w:start w:val="1"/>
      <w:numFmt w:val="lowerRoman"/>
      <w:lvlText w:val="%9"/>
      <w:lvlJc w:val="left"/>
      <w:pPr>
        <w:ind w:left="7103"/>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D317DBE"/>
    <w:multiLevelType w:val="hybridMultilevel"/>
    <w:tmpl w:val="5DE0C6BA"/>
    <w:lvl w:ilvl="0" w:tplc="71EC0632">
      <w:start w:val="1"/>
      <w:numFmt w:val="decimal"/>
      <w:lvlText w:val="%1"/>
      <w:lvlJc w:val="left"/>
      <w:pPr>
        <w:ind w:left="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82095A">
      <w:start w:val="1"/>
      <w:numFmt w:val="lowerLetter"/>
      <w:lvlText w:val="%2"/>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163C78">
      <w:start w:val="1"/>
      <w:numFmt w:val="lowerRoman"/>
      <w:lvlText w:val="%3"/>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243FA6">
      <w:start w:val="1"/>
      <w:numFmt w:val="decimal"/>
      <w:lvlText w:val="%4"/>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D016FE">
      <w:start w:val="1"/>
      <w:numFmt w:val="lowerLetter"/>
      <w:lvlText w:val="%5"/>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2268188">
      <w:start w:val="1"/>
      <w:numFmt w:val="lowerRoman"/>
      <w:lvlText w:val="%6"/>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94F82A">
      <w:start w:val="1"/>
      <w:numFmt w:val="decimal"/>
      <w:lvlText w:val="%7"/>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50B162">
      <w:start w:val="1"/>
      <w:numFmt w:val="lowerLetter"/>
      <w:lvlText w:val="%8"/>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436CD26">
      <w:start w:val="1"/>
      <w:numFmt w:val="lowerRoman"/>
      <w:lvlText w:val="%9"/>
      <w:lvlJc w:val="left"/>
      <w:pPr>
        <w:ind w:left="6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EDF67FA"/>
    <w:multiLevelType w:val="hybridMultilevel"/>
    <w:tmpl w:val="4D04268C"/>
    <w:lvl w:ilvl="0" w:tplc="1AEAD882">
      <w:start w:val="1"/>
      <w:numFmt w:val="decimal"/>
      <w:lvlText w:val="%1"/>
      <w:lvlJc w:val="left"/>
      <w:pPr>
        <w:ind w:left="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8CB0D034">
      <w:start w:val="1"/>
      <w:numFmt w:val="lowerLetter"/>
      <w:lvlText w:val="%2"/>
      <w:lvlJc w:val="left"/>
      <w:pPr>
        <w:ind w:left="164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E07EF6AA">
      <w:start w:val="1"/>
      <w:numFmt w:val="lowerRoman"/>
      <w:lvlText w:val="%3"/>
      <w:lvlJc w:val="left"/>
      <w:pPr>
        <w:ind w:left="236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A02C45D4">
      <w:start w:val="1"/>
      <w:numFmt w:val="decimal"/>
      <w:lvlText w:val="%4"/>
      <w:lvlJc w:val="left"/>
      <w:pPr>
        <w:ind w:left="308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41BE85E6">
      <w:start w:val="1"/>
      <w:numFmt w:val="lowerLetter"/>
      <w:lvlText w:val="%5"/>
      <w:lvlJc w:val="left"/>
      <w:pPr>
        <w:ind w:left="380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34D897E8">
      <w:start w:val="1"/>
      <w:numFmt w:val="lowerRoman"/>
      <w:lvlText w:val="%6"/>
      <w:lvlJc w:val="left"/>
      <w:pPr>
        <w:ind w:left="452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112C3882">
      <w:start w:val="1"/>
      <w:numFmt w:val="decimal"/>
      <w:lvlText w:val="%7"/>
      <w:lvlJc w:val="left"/>
      <w:pPr>
        <w:ind w:left="524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216A3F7C">
      <w:start w:val="1"/>
      <w:numFmt w:val="lowerLetter"/>
      <w:lvlText w:val="%8"/>
      <w:lvlJc w:val="left"/>
      <w:pPr>
        <w:ind w:left="596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C554E45C">
      <w:start w:val="1"/>
      <w:numFmt w:val="lowerRoman"/>
      <w:lvlText w:val="%9"/>
      <w:lvlJc w:val="left"/>
      <w:pPr>
        <w:ind w:left="668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F12734F"/>
    <w:multiLevelType w:val="hybridMultilevel"/>
    <w:tmpl w:val="BF36FEF8"/>
    <w:lvl w:ilvl="0" w:tplc="230AB852">
      <w:start w:val="1"/>
      <w:numFmt w:val="decimal"/>
      <w:lvlText w:val="%1"/>
      <w:lvlJc w:val="left"/>
      <w:pPr>
        <w:ind w:left="1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92DFC6">
      <w:start w:val="1"/>
      <w:numFmt w:val="lowerLetter"/>
      <w:lvlText w:val="%2"/>
      <w:lvlJc w:val="left"/>
      <w:pPr>
        <w:ind w:left="2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C44568">
      <w:start w:val="1"/>
      <w:numFmt w:val="lowerRoman"/>
      <w:lvlText w:val="%3"/>
      <w:lvlJc w:val="left"/>
      <w:pPr>
        <w:ind w:left="3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6186C">
      <w:start w:val="1"/>
      <w:numFmt w:val="decimal"/>
      <w:lvlText w:val="%4"/>
      <w:lvlJc w:val="left"/>
      <w:pPr>
        <w:ind w:left="3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3669D8">
      <w:start w:val="1"/>
      <w:numFmt w:val="lowerLetter"/>
      <w:lvlText w:val="%5"/>
      <w:lvlJc w:val="left"/>
      <w:pPr>
        <w:ind w:left="4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4EB9F4">
      <w:start w:val="1"/>
      <w:numFmt w:val="lowerRoman"/>
      <w:lvlText w:val="%6"/>
      <w:lvlJc w:val="left"/>
      <w:pPr>
        <w:ind w:left="5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201278">
      <w:start w:val="1"/>
      <w:numFmt w:val="decimal"/>
      <w:lvlText w:val="%7"/>
      <w:lvlJc w:val="left"/>
      <w:pPr>
        <w:ind w:left="5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22B006">
      <w:start w:val="1"/>
      <w:numFmt w:val="lowerLetter"/>
      <w:lvlText w:val="%8"/>
      <w:lvlJc w:val="left"/>
      <w:pPr>
        <w:ind w:left="6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F091D2">
      <w:start w:val="1"/>
      <w:numFmt w:val="lowerRoman"/>
      <w:lvlText w:val="%9"/>
      <w:lvlJc w:val="left"/>
      <w:pPr>
        <w:ind w:left="7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63D7D1A"/>
    <w:multiLevelType w:val="hybridMultilevel"/>
    <w:tmpl w:val="5094918C"/>
    <w:lvl w:ilvl="0" w:tplc="43487FB6">
      <w:start w:val="1"/>
      <w:numFmt w:val="decimal"/>
      <w:lvlText w:val="%1"/>
      <w:lvlJc w:val="left"/>
      <w:pPr>
        <w:ind w:left="1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F704F890">
      <w:start w:val="1"/>
      <w:numFmt w:val="lowerLetter"/>
      <w:lvlText w:val="%2"/>
      <w:lvlJc w:val="left"/>
      <w:pPr>
        <w:ind w:left="163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3142283E">
      <w:start w:val="1"/>
      <w:numFmt w:val="lowerRoman"/>
      <w:lvlText w:val="%3"/>
      <w:lvlJc w:val="left"/>
      <w:pPr>
        <w:ind w:left="235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3AAE91C4">
      <w:start w:val="1"/>
      <w:numFmt w:val="decimal"/>
      <w:lvlText w:val="%4"/>
      <w:lvlJc w:val="left"/>
      <w:pPr>
        <w:ind w:left="307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A6DEFBA0">
      <w:start w:val="1"/>
      <w:numFmt w:val="lowerLetter"/>
      <w:lvlText w:val="%5"/>
      <w:lvlJc w:val="left"/>
      <w:pPr>
        <w:ind w:left="379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D88E6512">
      <w:start w:val="1"/>
      <w:numFmt w:val="lowerRoman"/>
      <w:lvlText w:val="%6"/>
      <w:lvlJc w:val="left"/>
      <w:pPr>
        <w:ind w:left="451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FB70BF62">
      <w:start w:val="1"/>
      <w:numFmt w:val="decimal"/>
      <w:lvlText w:val="%7"/>
      <w:lvlJc w:val="left"/>
      <w:pPr>
        <w:ind w:left="523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883E1B48">
      <w:start w:val="1"/>
      <w:numFmt w:val="lowerLetter"/>
      <w:lvlText w:val="%8"/>
      <w:lvlJc w:val="left"/>
      <w:pPr>
        <w:ind w:left="595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1866497A">
      <w:start w:val="1"/>
      <w:numFmt w:val="lowerRoman"/>
      <w:lvlText w:val="%9"/>
      <w:lvlJc w:val="left"/>
      <w:pPr>
        <w:ind w:left="667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73645F3"/>
    <w:multiLevelType w:val="hybridMultilevel"/>
    <w:tmpl w:val="6E10E6A6"/>
    <w:lvl w:ilvl="0" w:tplc="F4DE778E">
      <w:start w:val="8"/>
      <w:numFmt w:val="decimal"/>
      <w:lvlText w:val="%1"/>
      <w:lvlJc w:val="left"/>
      <w:pPr>
        <w:ind w:left="1133"/>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EF88B680">
      <w:start w:val="1"/>
      <w:numFmt w:val="lowerLetter"/>
      <w:lvlText w:val="%2"/>
      <w:lvlJc w:val="left"/>
      <w:pPr>
        <w:ind w:left="178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C8E227AC">
      <w:start w:val="1"/>
      <w:numFmt w:val="lowerRoman"/>
      <w:lvlText w:val="%3"/>
      <w:lvlJc w:val="left"/>
      <w:pPr>
        <w:ind w:left="250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7F242F76">
      <w:start w:val="1"/>
      <w:numFmt w:val="decimal"/>
      <w:lvlText w:val="%4"/>
      <w:lvlJc w:val="left"/>
      <w:pPr>
        <w:ind w:left="322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24D8F8D4">
      <w:start w:val="1"/>
      <w:numFmt w:val="lowerLetter"/>
      <w:lvlText w:val="%5"/>
      <w:lvlJc w:val="left"/>
      <w:pPr>
        <w:ind w:left="394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6E6ED102">
      <w:start w:val="1"/>
      <w:numFmt w:val="lowerRoman"/>
      <w:lvlText w:val="%6"/>
      <w:lvlJc w:val="left"/>
      <w:pPr>
        <w:ind w:left="466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E390CCDE">
      <w:start w:val="1"/>
      <w:numFmt w:val="decimal"/>
      <w:lvlText w:val="%7"/>
      <w:lvlJc w:val="left"/>
      <w:pPr>
        <w:ind w:left="538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E0189DCE">
      <w:start w:val="1"/>
      <w:numFmt w:val="lowerLetter"/>
      <w:lvlText w:val="%8"/>
      <w:lvlJc w:val="left"/>
      <w:pPr>
        <w:ind w:left="610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8EDE6D76">
      <w:start w:val="1"/>
      <w:numFmt w:val="lowerRoman"/>
      <w:lvlText w:val="%9"/>
      <w:lvlJc w:val="left"/>
      <w:pPr>
        <w:ind w:left="682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BBC53D9"/>
    <w:multiLevelType w:val="multilevel"/>
    <w:tmpl w:val="EA30B1D0"/>
    <w:lvl w:ilvl="0">
      <w:start w:val="8"/>
      <w:numFmt w:val="decimal"/>
      <w:lvlText w:val="%1"/>
      <w:lvlJc w:val="left"/>
      <w:pPr>
        <w:ind w:left="36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36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start w:val="5"/>
      <w:numFmt w:val="decimal"/>
      <w:lvlRestart w:val="0"/>
      <w:lvlText w:val="%1.%2.%3"/>
      <w:lvlJc w:val="left"/>
      <w:pPr>
        <w:ind w:left="1565"/>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08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80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2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4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6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8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D896E34"/>
    <w:multiLevelType w:val="hybridMultilevel"/>
    <w:tmpl w:val="0D446B16"/>
    <w:lvl w:ilvl="0" w:tplc="925AFB3A">
      <w:start w:val="1"/>
      <w:numFmt w:val="decimal"/>
      <w:lvlText w:val="%1"/>
      <w:lvlJc w:val="left"/>
      <w:pPr>
        <w:ind w:left="111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841832F0">
      <w:start w:val="1"/>
      <w:numFmt w:val="lowerLetter"/>
      <w:lvlText w:val="%2"/>
      <w:lvlJc w:val="left"/>
      <w:pPr>
        <w:ind w:left="1905"/>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8DE056DC">
      <w:start w:val="1"/>
      <w:numFmt w:val="lowerRoman"/>
      <w:lvlText w:val="%3"/>
      <w:lvlJc w:val="left"/>
      <w:pPr>
        <w:ind w:left="2625"/>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CD166298">
      <w:start w:val="1"/>
      <w:numFmt w:val="decimal"/>
      <w:lvlText w:val="%4"/>
      <w:lvlJc w:val="left"/>
      <w:pPr>
        <w:ind w:left="3345"/>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B5865476">
      <w:start w:val="1"/>
      <w:numFmt w:val="lowerLetter"/>
      <w:lvlText w:val="%5"/>
      <w:lvlJc w:val="left"/>
      <w:pPr>
        <w:ind w:left="4065"/>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AE64AAEA">
      <w:start w:val="1"/>
      <w:numFmt w:val="lowerRoman"/>
      <w:lvlText w:val="%6"/>
      <w:lvlJc w:val="left"/>
      <w:pPr>
        <w:ind w:left="4785"/>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6CAC6AAE">
      <w:start w:val="1"/>
      <w:numFmt w:val="decimal"/>
      <w:lvlText w:val="%7"/>
      <w:lvlJc w:val="left"/>
      <w:pPr>
        <w:ind w:left="5505"/>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F3B4061E">
      <w:start w:val="1"/>
      <w:numFmt w:val="lowerLetter"/>
      <w:lvlText w:val="%8"/>
      <w:lvlJc w:val="left"/>
      <w:pPr>
        <w:ind w:left="6225"/>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25102DD6">
      <w:start w:val="1"/>
      <w:numFmt w:val="lowerRoman"/>
      <w:lvlText w:val="%9"/>
      <w:lvlJc w:val="left"/>
      <w:pPr>
        <w:ind w:left="6945"/>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419E0A3C"/>
    <w:multiLevelType w:val="multilevel"/>
    <w:tmpl w:val="B2EEED52"/>
    <w:lvl w:ilvl="0">
      <w:start w:val="1"/>
      <w:numFmt w:val="decimal"/>
      <w:pStyle w:val="1"/>
      <w:lvlText w:val="%1"/>
      <w:lvlJc w:val="left"/>
      <w:pPr>
        <w:ind w:left="0"/>
      </w:pPr>
      <w:rPr>
        <w:rFonts w:ascii="Times New Roman" w:eastAsia="Times New Roman" w:hAnsi="Times New Roman" w:cs="Times New Roman"/>
        <w:b/>
        <w:bCs/>
        <w:i w:val="0"/>
        <w:strike w:val="0"/>
        <w:dstrike w:val="0"/>
        <w:color w:val="000000"/>
        <w:sz w:val="44"/>
        <w:szCs w:val="44"/>
        <w:u w:val="none" w:color="000000"/>
        <w:bdr w:val="none" w:sz="0" w:space="0" w:color="auto"/>
        <w:shd w:val="clear" w:color="auto" w:fill="auto"/>
        <w:vertAlign w:val="baseline"/>
      </w:rPr>
    </w:lvl>
    <w:lvl w:ilvl="1">
      <w:start w:val="1"/>
      <w:numFmt w:val="decimal"/>
      <w:pStyle w:val="2"/>
      <w:lvlText w:val="%1.%2"/>
      <w:lvlJc w:val="left"/>
      <w:pPr>
        <w:ind w:left="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473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545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617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689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761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833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9050"/>
      </w:pPr>
      <w:rPr>
        <w:rFonts w:ascii="Cambria" w:eastAsia="Cambria" w:hAnsi="Cambria" w:cs="Cambria"/>
        <w:b/>
        <w:bCs/>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45A10378"/>
    <w:multiLevelType w:val="hybridMultilevel"/>
    <w:tmpl w:val="9940D47A"/>
    <w:lvl w:ilvl="0" w:tplc="D318E5B4">
      <w:start w:val="1"/>
      <w:numFmt w:val="decimal"/>
      <w:lvlText w:val="%1"/>
      <w:lvlJc w:val="left"/>
      <w:pPr>
        <w:ind w:left="98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B45CD662">
      <w:start w:val="1"/>
      <w:numFmt w:val="lowerLetter"/>
      <w:lvlText w:val="%2"/>
      <w:lvlJc w:val="left"/>
      <w:pPr>
        <w:ind w:left="206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E47857FE">
      <w:start w:val="1"/>
      <w:numFmt w:val="lowerRoman"/>
      <w:lvlText w:val="%3"/>
      <w:lvlJc w:val="left"/>
      <w:pPr>
        <w:ind w:left="278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FEFA579C">
      <w:start w:val="1"/>
      <w:numFmt w:val="decimal"/>
      <w:lvlText w:val="%4"/>
      <w:lvlJc w:val="left"/>
      <w:pPr>
        <w:ind w:left="350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82709C38">
      <w:start w:val="1"/>
      <w:numFmt w:val="lowerLetter"/>
      <w:lvlText w:val="%5"/>
      <w:lvlJc w:val="left"/>
      <w:pPr>
        <w:ind w:left="422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B78E41A4">
      <w:start w:val="1"/>
      <w:numFmt w:val="lowerRoman"/>
      <w:lvlText w:val="%6"/>
      <w:lvlJc w:val="left"/>
      <w:pPr>
        <w:ind w:left="494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A118B1CE">
      <w:start w:val="1"/>
      <w:numFmt w:val="decimal"/>
      <w:lvlText w:val="%7"/>
      <w:lvlJc w:val="left"/>
      <w:pPr>
        <w:ind w:left="566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D8F81E90">
      <w:start w:val="1"/>
      <w:numFmt w:val="lowerLetter"/>
      <w:lvlText w:val="%8"/>
      <w:lvlJc w:val="left"/>
      <w:pPr>
        <w:ind w:left="638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FE4A151A">
      <w:start w:val="1"/>
      <w:numFmt w:val="lowerRoman"/>
      <w:lvlText w:val="%9"/>
      <w:lvlJc w:val="left"/>
      <w:pPr>
        <w:ind w:left="710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46A56A86"/>
    <w:multiLevelType w:val="hybridMultilevel"/>
    <w:tmpl w:val="CC3EDA9E"/>
    <w:lvl w:ilvl="0" w:tplc="5C021F12">
      <w:start w:val="1"/>
      <w:numFmt w:val="decimal"/>
      <w:lvlText w:val="%1"/>
      <w:lvlJc w:val="left"/>
      <w:pPr>
        <w:ind w:left="36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723A9E2E">
      <w:start w:val="1"/>
      <w:numFmt w:val="lowerLetter"/>
      <w:lvlText w:val="%2"/>
      <w:lvlJc w:val="left"/>
      <w:pPr>
        <w:ind w:left="71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D818A7C0">
      <w:start w:val="1"/>
      <w:numFmt w:val="decimal"/>
      <w:lvlRestart w:val="0"/>
      <w:lvlText w:val="%3"/>
      <w:lvlJc w:val="left"/>
      <w:pPr>
        <w:ind w:left="79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F29E190E">
      <w:start w:val="1"/>
      <w:numFmt w:val="decimal"/>
      <w:lvlText w:val="%4"/>
      <w:lvlJc w:val="left"/>
      <w:pPr>
        <w:ind w:left="178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7458C576">
      <w:start w:val="1"/>
      <w:numFmt w:val="lowerLetter"/>
      <w:lvlText w:val="%5"/>
      <w:lvlJc w:val="left"/>
      <w:pPr>
        <w:ind w:left="250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E2C8AA76">
      <w:start w:val="1"/>
      <w:numFmt w:val="lowerRoman"/>
      <w:lvlText w:val="%6"/>
      <w:lvlJc w:val="left"/>
      <w:pPr>
        <w:ind w:left="322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F3D84BA8">
      <w:start w:val="1"/>
      <w:numFmt w:val="decimal"/>
      <w:lvlText w:val="%7"/>
      <w:lvlJc w:val="left"/>
      <w:pPr>
        <w:ind w:left="394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B8F4E180">
      <w:start w:val="1"/>
      <w:numFmt w:val="lowerLetter"/>
      <w:lvlText w:val="%8"/>
      <w:lvlJc w:val="left"/>
      <w:pPr>
        <w:ind w:left="466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6CAEF228">
      <w:start w:val="1"/>
      <w:numFmt w:val="lowerRoman"/>
      <w:lvlText w:val="%9"/>
      <w:lvlJc w:val="left"/>
      <w:pPr>
        <w:ind w:left="538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75F470F"/>
    <w:multiLevelType w:val="hybridMultilevel"/>
    <w:tmpl w:val="9F4A48F0"/>
    <w:lvl w:ilvl="0" w:tplc="B0D2DB98">
      <w:start w:val="1"/>
      <w:numFmt w:val="decimal"/>
      <w:lvlText w:val="%1"/>
      <w:lvlJc w:val="left"/>
      <w:pPr>
        <w:ind w:left="113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1A3CCA30">
      <w:start w:val="1"/>
      <w:numFmt w:val="lowerLetter"/>
      <w:lvlText w:val="%2"/>
      <w:lvlJc w:val="left"/>
      <w:pPr>
        <w:ind w:left="178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26EA295E">
      <w:start w:val="1"/>
      <w:numFmt w:val="lowerRoman"/>
      <w:lvlText w:val="%3"/>
      <w:lvlJc w:val="left"/>
      <w:pPr>
        <w:ind w:left="250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65E2F8D2">
      <w:start w:val="1"/>
      <w:numFmt w:val="decimal"/>
      <w:lvlText w:val="%4"/>
      <w:lvlJc w:val="left"/>
      <w:pPr>
        <w:ind w:left="322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5030934E">
      <w:start w:val="1"/>
      <w:numFmt w:val="lowerLetter"/>
      <w:lvlText w:val="%5"/>
      <w:lvlJc w:val="left"/>
      <w:pPr>
        <w:ind w:left="394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9ACCEEC6">
      <w:start w:val="1"/>
      <w:numFmt w:val="lowerRoman"/>
      <w:lvlText w:val="%6"/>
      <w:lvlJc w:val="left"/>
      <w:pPr>
        <w:ind w:left="466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B7E6ABD0">
      <w:start w:val="1"/>
      <w:numFmt w:val="decimal"/>
      <w:lvlText w:val="%7"/>
      <w:lvlJc w:val="left"/>
      <w:pPr>
        <w:ind w:left="538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E8221EB0">
      <w:start w:val="1"/>
      <w:numFmt w:val="lowerLetter"/>
      <w:lvlText w:val="%8"/>
      <w:lvlJc w:val="left"/>
      <w:pPr>
        <w:ind w:left="610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A964DF46">
      <w:start w:val="1"/>
      <w:numFmt w:val="lowerRoman"/>
      <w:lvlText w:val="%9"/>
      <w:lvlJc w:val="left"/>
      <w:pPr>
        <w:ind w:left="682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77B7DB8"/>
    <w:multiLevelType w:val="hybridMultilevel"/>
    <w:tmpl w:val="A81A6440"/>
    <w:lvl w:ilvl="0" w:tplc="7F52CD84">
      <w:start w:val="1"/>
      <w:numFmt w:val="decimal"/>
      <w:lvlText w:val="%1"/>
      <w:lvlJc w:val="left"/>
      <w:pPr>
        <w:ind w:left="112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FDDC6790">
      <w:start w:val="1"/>
      <w:numFmt w:val="lowerLetter"/>
      <w:lvlText w:val="%2"/>
      <w:lvlJc w:val="left"/>
      <w:pPr>
        <w:ind w:left="191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78AE32F4">
      <w:start w:val="1"/>
      <w:numFmt w:val="lowerRoman"/>
      <w:lvlText w:val="%3"/>
      <w:lvlJc w:val="left"/>
      <w:pPr>
        <w:ind w:left="263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26F29DBC">
      <w:start w:val="1"/>
      <w:numFmt w:val="decimal"/>
      <w:lvlText w:val="%4"/>
      <w:lvlJc w:val="left"/>
      <w:pPr>
        <w:ind w:left="335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C9AE9ABE">
      <w:start w:val="1"/>
      <w:numFmt w:val="lowerLetter"/>
      <w:lvlText w:val="%5"/>
      <w:lvlJc w:val="left"/>
      <w:pPr>
        <w:ind w:left="407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E0F257D2">
      <w:start w:val="1"/>
      <w:numFmt w:val="lowerRoman"/>
      <w:lvlText w:val="%6"/>
      <w:lvlJc w:val="left"/>
      <w:pPr>
        <w:ind w:left="479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9FD8D19E">
      <w:start w:val="1"/>
      <w:numFmt w:val="decimal"/>
      <w:lvlText w:val="%7"/>
      <w:lvlJc w:val="left"/>
      <w:pPr>
        <w:ind w:left="551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43D0EA24">
      <w:start w:val="1"/>
      <w:numFmt w:val="lowerLetter"/>
      <w:lvlText w:val="%8"/>
      <w:lvlJc w:val="left"/>
      <w:pPr>
        <w:ind w:left="623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EE6AD61C">
      <w:start w:val="1"/>
      <w:numFmt w:val="lowerRoman"/>
      <w:lvlText w:val="%9"/>
      <w:lvlJc w:val="left"/>
      <w:pPr>
        <w:ind w:left="695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8C27CAA"/>
    <w:multiLevelType w:val="hybridMultilevel"/>
    <w:tmpl w:val="AB7C6598"/>
    <w:lvl w:ilvl="0" w:tplc="0484BC9A">
      <w:start w:val="1"/>
      <w:numFmt w:val="decimal"/>
      <w:lvlText w:val="%1"/>
      <w:lvlJc w:val="left"/>
      <w:pPr>
        <w:ind w:left="62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01CC37C0">
      <w:start w:val="1"/>
      <w:numFmt w:val="lowerLetter"/>
      <w:lvlText w:val="%2"/>
      <w:lvlJc w:val="left"/>
      <w:pPr>
        <w:ind w:left="171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1BECA558">
      <w:start w:val="1"/>
      <w:numFmt w:val="lowerRoman"/>
      <w:lvlText w:val="%3"/>
      <w:lvlJc w:val="left"/>
      <w:pPr>
        <w:ind w:left="243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BBDC60E8">
      <w:start w:val="1"/>
      <w:numFmt w:val="decimal"/>
      <w:lvlText w:val="%4"/>
      <w:lvlJc w:val="left"/>
      <w:pPr>
        <w:ind w:left="315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1A4655A6">
      <w:start w:val="1"/>
      <w:numFmt w:val="lowerLetter"/>
      <w:lvlText w:val="%5"/>
      <w:lvlJc w:val="left"/>
      <w:pPr>
        <w:ind w:left="387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4B14AA18">
      <w:start w:val="1"/>
      <w:numFmt w:val="lowerRoman"/>
      <w:lvlText w:val="%6"/>
      <w:lvlJc w:val="left"/>
      <w:pPr>
        <w:ind w:left="459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0376217E">
      <w:start w:val="1"/>
      <w:numFmt w:val="decimal"/>
      <w:lvlText w:val="%7"/>
      <w:lvlJc w:val="left"/>
      <w:pPr>
        <w:ind w:left="531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4F700EFE">
      <w:start w:val="1"/>
      <w:numFmt w:val="lowerLetter"/>
      <w:lvlText w:val="%8"/>
      <w:lvlJc w:val="left"/>
      <w:pPr>
        <w:ind w:left="603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86329F7A">
      <w:start w:val="1"/>
      <w:numFmt w:val="lowerRoman"/>
      <w:lvlText w:val="%9"/>
      <w:lvlJc w:val="left"/>
      <w:pPr>
        <w:ind w:left="675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B622BB1"/>
    <w:multiLevelType w:val="hybridMultilevel"/>
    <w:tmpl w:val="B4884820"/>
    <w:lvl w:ilvl="0" w:tplc="5A8AFA3E">
      <w:start w:val="1"/>
      <w:numFmt w:val="decimal"/>
      <w:lvlText w:val="%1"/>
      <w:lvlJc w:val="left"/>
      <w:pPr>
        <w:ind w:left="983"/>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A692E270">
      <w:start w:val="1"/>
      <w:numFmt w:val="lowerLetter"/>
      <w:lvlText w:val="%2"/>
      <w:lvlJc w:val="left"/>
      <w:pPr>
        <w:ind w:left="163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89EED01E">
      <w:start w:val="1"/>
      <w:numFmt w:val="lowerRoman"/>
      <w:lvlText w:val="%3"/>
      <w:lvlJc w:val="left"/>
      <w:pPr>
        <w:ind w:left="235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B1B2899C">
      <w:start w:val="1"/>
      <w:numFmt w:val="decimal"/>
      <w:lvlText w:val="%4"/>
      <w:lvlJc w:val="left"/>
      <w:pPr>
        <w:ind w:left="307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A42E119C">
      <w:start w:val="1"/>
      <w:numFmt w:val="lowerLetter"/>
      <w:lvlText w:val="%5"/>
      <w:lvlJc w:val="left"/>
      <w:pPr>
        <w:ind w:left="379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FC98F48C">
      <w:start w:val="1"/>
      <w:numFmt w:val="lowerRoman"/>
      <w:lvlText w:val="%6"/>
      <w:lvlJc w:val="left"/>
      <w:pPr>
        <w:ind w:left="451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5470DF96">
      <w:start w:val="1"/>
      <w:numFmt w:val="decimal"/>
      <w:lvlText w:val="%7"/>
      <w:lvlJc w:val="left"/>
      <w:pPr>
        <w:ind w:left="523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36C6CFC6">
      <w:start w:val="1"/>
      <w:numFmt w:val="lowerLetter"/>
      <w:lvlText w:val="%8"/>
      <w:lvlJc w:val="left"/>
      <w:pPr>
        <w:ind w:left="595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6240BEEC">
      <w:start w:val="1"/>
      <w:numFmt w:val="lowerRoman"/>
      <w:lvlText w:val="%9"/>
      <w:lvlJc w:val="left"/>
      <w:pPr>
        <w:ind w:left="667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CAC2542"/>
    <w:multiLevelType w:val="hybridMultilevel"/>
    <w:tmpl w:val="2C2C03F2"/>
    <w:lvl w:ilvl="0" w:tplc="95EAB73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3892D2">
      <w:start w:val="1"/>
      <w:numFmt w:val="decimal"/>
      <w:lvlText w:val="%2"/>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1C666E">
      <w:start w:val="1"/>
      <w:numFmt w:val="lowerRoman"/>
      <w:lvlText w:val="%3"/>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10E4A2">
      <w:start w:val="1"/>
      <w:numFmt w:val="decimal"/>
      <w:lvlText w:val="%4"/>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4EC940">
      <w:start w:val="1"/>
      <w:numFmt w:val="lowerLetter"/>
      <w:lvlText w:val="%5"/>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34E5A6">
      <w:start w:val="1"/>
      <w:numFmt w:val="lowerRoman"/>
      <w:lvlText w:val="%6"/>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743A2C">
      <w:start w:val="1"/>
      <w:numFmt w:val="decimal"/>
      <w:lvlText w:val="%7"/>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1A3B64">
      <w:start w:val="1"/>
      <w:numFmt w:val="lowerLetter"/>
      <w:lvlText w:val="%8"/>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D2306E">
      <w:start w:val="1"/>
      <w:numFmt w:val="lowerRoman"/>
      <w:lvlText w:val="%9"/>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E4C70AE"/>
    <w:multiLevelType w:val="hybridMultilevel"/>
    <w:tmpl w:val="048CCF66"/>
    <w:lvl w:ilvl="0" w:tplc="FB9E672C">
      <w:start w:val="1"/>
      <w:numFmt w:val="decimal"/>
      <w:lvlText w:val="%1"/>
      <w:lvlJc w:val="left"/>
      <w:pPr>
        <w:ind w:left="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6A1A012A">
      <w:start w:val="1"/>
      <w:numFmt w:val="lowerLetter"/>
      <w:lvlText w:val="%2"/>
      <w:lvlJc w:val="left"/>
      <w:pPr>
        <w:ind w:left="164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02FA79EE">
      <w:start w:val="1"/>
      <w:numFmt w:val="lowerRoman"/>
      <w:lvlText w:val="%3"/>
      <w:lvlJc w:val="left"/>
      <w:pPr>
        <w:ind w:left="236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3140CA30">
      <w:start w:val="1"/>
      <w:numFmt w:val="decimal"/>
      <w:lvlText w:val="%4"/>
      <w:lvlJc w:val="left"/>
      <w:pPr>
        <w:ind w:left="308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149AC048">
      <w:start w:val="1"/>
      <w:numFmt w:val="lowerLetter"/>
      <w:lvlText w:val="%5"/>
      <w:lvlJc w:val="left"/>
      <w:pPr>
        <w:ind w:left="380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461AE5C2">
      <w:start w:val="1"/>
      <w:numFmt w:val="lowerRoman"/>
      <w:lvlText w:val="%6"/>
      <w:lvlJc w:val="left"/>
      <w:pPr>
        <w:ind w:left="452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D2B287B2">
      <w:start w:val="1"/>
      <w:numFmt w:val="decimal"/>
      <w:lvlText w:val="%7"/>
      <w:lvlJc w:val="left"/>
      <w:pPr>
        <w:ind w:left="524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4EC2CA6A">
      <w:start w:val="1"/>
      <w:numFmt w:val="lowerLetter"/>
      <w:lvlText w:val="%8"/>
      <w:lvlJc w:val="left"/>
      <w:pPr>
        <w:ind w:left="596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C8D88C98">
      <w:start w:val="1"/>
      <w:numFmt w:val="lowerRoman"/>
      <w:lvlText w:val="%9"/>
      <w:lvlJc w:val="left"/>
      <w:pPr>
        <w:ind w:left="6686"/>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21F2403"/>
    <w:multiLevelType w:val="hybridMultilevel"/>
    <w:tmpl w:val="68805108"/>
    <w:lvl w:ilvl="0" w:tplc="0C046B5C">
      <w:start w:val="1"/>
      <w:numFmt w:val="decimal"/>
      <w:lvlText w:val="%1"/>
      <w:lvlJc w:val="left"/>
      <w:pPr>
        <w:ind w:left="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D238F6">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E8FC8C">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4C8E4E">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24E190">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3E80F4C">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240F2E">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C85136">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0253D2">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5C531EC3"/>
    <w:multiLevelType w:val="hybridMultilevel"/>
    <w:tmpl w:val="CAA248C8"/>
    <w:lvl w:ilvl="0" w:tplc="7102F4AE">
      <w:start w:val="1"/>
      <w:numFmt w:val="decimal"/>
      <w:lvlText w:val="%1"/>
      <w:lvlJc w:val="left"/>
      <w:pPr>
        <w:ind w:left="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738C4BEE">
      <w:start w:val="1"/>
      <w:numFmt w:val="lowerLetter"/>
      <w:lvlText w:val="%2"/>
      <w:lvlJc w:val="left"/>
      <w:pPr>
        <w:ind w:left="164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79866D26">
      <w:start w:val="1"/>
      <w:numFmt w:val="lowerRoman"/>
      <w:lvlText w:val="%3"/>
      <w:lvlJc w:val="left"/>
      <w:pPr>
        <w:ind w:left="236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EADC864A">
      <w:start w:val="1"/>
      <w:numFmt w:val="decimal"/>
      <w:lvlText w:val="%4"/>
      <w:lvlJc w:val="left"/>
      <w:pPr>
        <w:ind w:left="308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4F46A21C">
      <w:start w:val="1"/>
      <w:numFmt w:val="lowerLetter"/>
      <w:lvlText w:val="%5"/>
      <w:lvlJc w:val="left"/>
      <w:pPr>
        <w:ind w:left="380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B60A2F48">
      <w:start w:val="1"/>
      <w:numFmt w:val="lowerRoman"/>
      <w:lvlText w:val="%6"/>
      <w:lvlJc w:val="left"/>
      <w:pPr>
        <w:ind w:left="452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39FCF3F4">
      <w:start w:val="1"/>
      <w:numFmt w:val="decimal"/>
      <w:lvlText w:val="%7"/>
      <w:lvlJc w:val="left"/>
      <w:pPr>
        <w:ind w:left="524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97704044">
      <w:start w:val="1"/>
      <w:numFmt w:val="lowerLetter"/>
      <w:lvlText w:val="%8"/>
      <w:lvlJc w:val="left"/>
      <w:pPr>
        <w:ind w:left="596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EB1C0FD2">
      <w:start w:val="1"/>
      <w:numFmt w:val="lowerRoman"/>
      <w:lvlText w:val="%9"/>
      <w:lvlJc w:val="left"/>
      <w:pPr>
        <w:ind w:left="668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5CBB3885"/>
    <w:multiLevelType w:val="hybridMultilevel"/>
    <w:tmpl w:val="1C8EC66A"/>
    <w:lvl w:ilvl="0" w:tplc="45C862D0">
      <w:start w:val="1"/>
      <w:numFmt w:val="decimal"/>
      <w:lvlText w:val="%1"/>
      <w:lvlJc w:val="left"/>
      <w:pPr>
        <w:ind w:left="99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391EC53E">
      <w:start w:val="1"/>
      <w:numFmt w:val="lowerLetter"/>
      <w:lvlText w:val="%2"/>
      <w:lvlJc w:val="left"/>
      <w:pPr>
        <w:ind w:left="178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5ECE9916">
      <w:start w:val="1"/>
      <w:numFmt w:val="lowerRoman"/>
      <w:lvlText w:val="%3"/>
      <w:lvlJc w:val="left"/>
      <w:pPr>
        <w:ind w:left="250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77EAF282">
      <w:start w:val="1"/>
      <w:numFmt w:val="decimal"/>
      <w:lvlText w:val="%4"/>
      <w:lvlJc w:val="left"/>
      <w:pPr>
        <w:ind w:left="322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0A84EA3C">
      <w:start w:val="1"/>
      <w:numFmt w:val="lowerLetter"/>
      <w:lvlText w:val="%5"/>
      <w:lvlJc w:val="left"/>
      <w:pPr>
        <w:ind w:left="394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7F10167A">
      <w:start w:val="1"/>
      <w:numFmt w:val="lowerRoman"/>
      <w:lvlText w:val="%6"/>
      <w:lvlJc w:val="left"/>
      <w:pPr>
        <w:ind w:left="466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BB844C06">
      <w:start w:val="1"/>
      <w:numFmt w:val="decimal"/>
      <w:lvlText w:val="%7"/>
      <w:lvlJc w:val="left"/>
      <w:pPr>
        <w:ind w:left="538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022EFB44">
      <w:start w:val="1"/>
      <w:numFmt w:val="lowerLetter"/>
      <w:lvlText w:val="%8"/>
      <w:lvlJc w:val="left"/>
      <w:pPr>
        <w:ind w:left="610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2A1A7E5E">
      <w:start w:val="1"/>
      <w:numFmt w:val="lowerRoman"/>
      <w:lvlText w:val="%9"/>
      <w:lvlJc w:val="left"/>
      <w:pPr>
        <w:ind w:left="682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E1214F0"/>
    <w:multiLevelType w:val="hybridMultilevel"/>
    <w:tmpl w:val="C814371E"/>
    <w:lvl w:ilvl="0" w:tplc="C546C31C">
      <w:start w:val="1"/>
      <w:numFmt w:val="decimal"/>
      <w:lvlText w:val="%1"/>
      <w:lvlJc w:val="left"/>
      <w:pPr>
        <w:ind w:left="70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9F8EA9D8">
      <w:start w:val="1"/>
      <w:numFmt w:val="lowerLetter"/>
      <w:lvlText w:val="%2"/>
      <w:lvlJc w:val="left"/>
      <w:pPr>
        <w:ind w:left="150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561603F6">
      <w:start w:val="1"/>
      <w:numFmt w:val="lowerRoman"/>
      <w:lvlText w:val="%3"/>
      <w:lvlJc w:val="left"/>
      <w:pPr>
        <w:ind w:left="222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620E1A5E">
      <w:start w:val="1"/>
      <w:numFmt w:val="decimal"/>
      <w:lvlText w:val="%4"/>
      <w:lvlJc w:val="left"/>
      <w:pPr>
        <w:ind w:left="294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F204119A">
      <w:start w:val="1"/>
      <w:numFmt w:val="lowerLetter"/>
      <w:lvlText w:val="%5"/>
      <w:lvlJc w:val="left"/>
      <w:pPr>
        <w:ind w:left="366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8568659E">
      <w:start w:val="1"/>
      <w:numFmt w:val="lowerRoman"/>
      <w:lvlText w:val="%6"/>
      <w:lvlJc w:val="left"/>
      <w:pPr>
        <w:ind w:left="438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E8AA841A">
      <w:start w:val="1"/>
      <w:numFmt w:val="decimal"/>
      <w:lvlText w:val="%7"/>
      <w:lvlJc w:val="left"/>
      <w:pPr>
        <w:ind w:left="510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3A8A50AA">
      <w:start w:val="1"/>
      <w:numFmt w:val="lowerLetter"/>
      <w:lvlText w:val="%8"/>
      <w:lvlJc w:val="left"/>
      <w:pPr>
        <w:ind w:left="582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E0907F48">
      <w:start w:val="1"/>
      <w:numFmt w:val="lowerRoman"/>
      <w:lvlText w:val="%9"/>
      <w:lvlJc w:val="left"/>
      <w:pPr>
        <w:ind w:left="6548"/>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EE00A16"/>
    <w:multiLevelType w:val="hybridMultilevel"/>
    <w:tmpl w:val="25AC9140"/>
    <w:lvl w:ilvl="0" w:tplc="E3143964">
      <w:start w:val="8"/>
      <w:numFmt w:val="decimal"/>
      <w:lvlText w:val="%1."/>
      <w:lvlJc w:val="left"/>
      <w:pPr>
        <w:ind w:left="28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288022E8">
      <w:start w:val="1"/>
      <w:numFmt w:val="decimal"/>
      <w:lvlText w:val="%2"/>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9671CC">
      <w:start w:val="1"/>
      <w:numFmt w:val="lowerRoman"/>
      <w:lvlText w:val="%3"/>
      <w:lvlJc w:val="left"/>
      <w:pPr>
        <w:ind w:left="1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624816">
      <w:start w:val="1"/>
      <w:numFmt w:val="decimal"/>
      <w:lvlText w:val="%4"/>
      <w:lvlJc w:val="left"/>
      <w:pPr>
        <w:ind w:left="2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FC270C">
      <w:start w:val="1"/>
      <w:numFmt w:val="lowerLetter"/>
      <w:lvlText w:val="%5"/>
      <w:lvlJc w:val="left"/>
      <w:pPr>
        <w:ind w:left="2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948D9E">
      <w:start w:val="1"/>
      <w:numFmt w:val="lowerRoman"/>
      <w:lvlText w:val="%6"/>
      <w:lvlJc w:val="left"/>
      <w:pPr>
        <w:ind w:left="3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784B0C">
      <w:start w:val="1"/>
      <w:numFmt w:val="decimal"/>
      <w:lvlText w:val="%7"/>
      <w:lvlJc w:val="left"/>
      <w:pPr>
        <w:ind w:left="4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AC48E8">
      <w:start w:val="1"/>
      <w:numFmt w:val="lowerLetter"/>
      <w:lvlText w:val="%8"/>
      <w:lvlJc w:val="left"/>
      <w:pPr>
        <w:ind w:left="5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429772">
      <w:start w:val="1"/>
      <w:numFmt w:val="lowerRoman"/>
      <w:lvlText w:val="%9"/>
      <w:lvlJc w:val="left"/>
      <w:pPr>
        <w:ind w:left="5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2A23B57"/>
    <w:multiLevelType w:val="hybridMultilevel"/>
    <w:tmpl w:val="59BE5F5E"/>
    <w:lvl w:ilvl="0" w:tplc="2FF2E640">
      <w:start w:val="1"/>
      <w:numFmt w:val="decimal"/>
      <w:lvlText w:val="%1"/>
      <w:lvlJc w:val="left"/>
      <w:pPr>
        <w:ind w:left="993"/>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DEA2A698">
      <w:start w:val="1"/>
      <w:numFmt w:val="decimal"/>
      <w:lvlText w:val="%2"/>
      <w:lvlJc w:val="left"/>
      <w:pPr>
        <w:ind w:left="1405"/>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C06C6ED0">
      <w:start w:val="1"/>
      <w:numFmt w:val="lowerRoman"/>
      <w:lvlText w:val="%3"/>
      <w:lvlJc w:val="left"/>
      <w:pPr>
        <w:ind w:left="220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7F427F24">
      <w:start w:val="1"/>
      <w:numFmt w:val="decimal"/>
      <w:lvlText w:val="%4"/>
      <w:lvlJc w:val="left"/>
      <w:pPr>
        <w:ind w:left="292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0D62D39C">
      <w:start w:val="1"/>
      <w:numFmt w:val="lowerLetter"/>
      <w:lvlText w:val="%5"/>
      <w:lvlJc w:val="left"/>
      <w:pPr>
        <w:ind w:left="364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A0209B52">
      <w:start w:val="1"/>
      <w:numFmt w:val="lowerRoman"/>
      <w:lvlText w:val="%6"/>
      <w:lvlJc w:val="left"/>
      <w:pPr>
        <w:ind w:left="436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212AB794">
      <w:start w:val="1"/>
      <w:numFmt w:val="decimal"/>
      <w:lvlText w:val="%7"/>
      <w:lvlJc w:val="left"/>
      <w:pPr>
        <w:ind w:left="508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47E23A2A">
      <w:start w:val="1"/>
      <w:numFmt w:val="lowerLetter"/>
      <w:lvlText w:val="%8"/>
      <w:lvlJc w:val="left"/>
      <w:pPr>
        <w:ind w:left="580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DF1E0642">
      <w:start w:val="1"/>
      <w:numFmt w:val="lowerRoman"/>
      <w:lvlText w:val="%9"/>
      <w:lvlJc w:val="left"/>
      <w:pPr>
        <w:ind w:left="6521"/>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46124D3"/>
    <w:multiLevelType w:val="hybridMultilevel"/>
    <w:tmpl w:val="BA249E3E"/>
    <w:lvl w:ilvl="0" w:tplc="20748B4C">
      <w:start w:val="1"/>
      <w:numFmt w:val="decimal"/>
      <w:lvlText w:val="%1"/>
      <w:lvlJc w:val="left"/>
      <w:pPr>
        <w:ind w:left="854"/>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8630730A">
      <w:start w:val="1"/>
      <w:numFmt w:val="lowerLetter"/>
      <w:lvlText w:val="%2"/>
      <w:lvlJc w:val="left"/>
      <w:pPr>
        <w:ind w:left="150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E724F036">
      <w:start w:val="1"/>
      <w:numFmt w:val="lowerRoman"/>
      <w:lvlText w:val="%3"/>
      <w:lvlJc w:val="left"/>
      <w:pPr>
        <w:ind w:left="222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D794CC3C">
      <w:start w:val="1"/>
      <w:numFmt w:val="decimal"/>
      <w:lvlText w:val="%4"/>
      <w:lvlJc w:val="left"/>
      <w:pPr>
        <w:ind w:left="294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9AA8C082">
      <w:start w:val="1"/>
      <w:numFmt w:val="lowerLetter"/>
      <w:lvlText w:val="%5"/>
      <w:lvlJc w:val="left"/>
      <w:pPr>
        <w:ind w:left="366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EFC2A6BE">
      <w:start w:val="1"/>
      <w:numFmt w:val="lowerRoman"/>
      <w:lvlText w:val="%6"/>
      <w:lvlJc w:val="left"/>
      <w:pPr>
        <w:ind w:left="438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4602260C">
      <w:start w:val="1"/>
      <w:numFmt w:val="decimal"/>
      <w:lvlText w:val="%7"/>
      <w:lvlJc w:val="left"/>
      <w:pPr>
        <w:ind w:left="510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FEE42A5C">
      <w:start w:val="1"/>
      <w:numFmt w:val="lowerLetter"/>
      <w:lvlText w:val="%8"/>
      <w:lvlJc w:val="left"/>
      <w:pPr>
        <w:ind w:left="582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8020DABC">
      <w:start w:val="1"/>
      <w:numFmt w:val="lowerRoman"/>
      <w:lvlText w:val="%9"/>
      <w:lvlJc w:val="left"/>
      <w:pPr>
        <w:ind w:left="6540"/>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65250C5A"/>
    <w:multiLevelType w:val="hybridMultilevel"/>
    <w:tmpl w:val="29200A9C"/>
    <w:lvl w:ilvl="0" w:tplc="798438DC">
      <w:start w:val="1"/>
      <w:numFmt w:val="decimal"/>
      <w:lvlText w:val="%1"/>
      <w:lvlJc w:val="left"/>
      <w:pPr>
        <w:ind w:left="712"/>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B39E2954">
      <w:start w:val="1"/>
      <w:numFmt w:val="lowerLetter"/>
      <w:lvlText w:val="%2"/>
      <w:lvlJc w:val="left"/>
      <w:pPr>
        <w:ind w:left="150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F7DE9BA2">
      <w:start w:val="1"/>
      <w:numFmt w:val="lowerRoman"/>
      <w:lvlText w:val="%3"/>
      <w:lvlJc w:val="left"/>
      <w:pPr>
        <w:ind w:left="222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428EB078">
      <w:start w:val="1"/>
      <w:numFmt w:val="decimal"/>
      <w:lvlText w:val="%4"/>
      <w:lvlJc w:val="left"/>
      <w:pPr>
        <w:ind w:left="294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6E74D932">
      <w:start w:val="1"/>
      <w:numFmt w:val="lowerLetter"/>
      <w:lvlText w:val="%5"/>
      <w:lvlJc w:val="left"/>
      <w:pPr>
        <w:ind w:left="366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11427F0A">
      <w:start w:val="1"/>
      <w:numFmt w:val="lowerRoman"/>
      <w:lvlText w:val="%6"/>
      <w:lvlJc w:val="left"/>
      <w:pPr>
        <w:ind w:left="438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48427F6A">
      <w:start w:val="1"/>
      <w:numFmt w:val="decimal"/>
      <w:lvlText w:val="%7"/>
      <w:lvlJc w:val="left"/>
      <w:pPr>
        <w:ind w:left="510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9D683E42">
      <w:start w:val="1"/>
      <w:numFmt w:val="lowerLetter"/>
      <w:lvlText w:val="%8"/>
      <w:lvlJc w:val="left"/>
      <w:pPr>
        <w:ind w:left="582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CEB8DF4A">
      <w:start w:val="1"/>
      <w:numFmt w:val="lowerRoman"/>
      <w:lvlText w:val="%9"/>
      <w:lvlJc w:val="left"/>
      <w:pPr>
        <w:ind w:left="654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A1B4B90"/>
    <w:multiLevelType w:val="hybridMultilevel"/>
    <w:tmpl w:val="2EDABF6A"/>
    <w:lvl w:ilvl="0" w:tplc="D5906CE0">
      <w:start w:val="1"/>
      <w:numFmt w:val="decimal"/>
      <w:lvlText w:val="%1"/>
      <w:lvlJc w:val="left"/>
      <w:pPr>
        <w:ind w:left="983"/>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48EAB6F0">
      <w:start w:val="1"/>
      <w:numFmt w:val="lowerLetter"/>
      <w:lvlText w:val="%2"/>
      <w:lvlJc w:val="left"/>
      <w:pPr>
        <w:ind w:left="205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8C8A30EE">
      <w:start w:val="1"/>
      <w:numFmt w:val="lowerRoman"/>
      <w:lvlText w:val="%3"/>
      <w:lvlJc w:val="left"/>
      <w:pPr>
        <w:ind w:left="277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8F12099C">
      <w:start w:val="1"/>
      <w:numFmt w:val="decimal"/>
      <w:lvlText w:val="%4"/>
      <w:lvlJc w:val="left"/>
      <w:pPr>
        <w:ind w:left="349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2010846C">
      <w:start w:val="1"/>
      <w:numFmt w:val="lowerLetter"/>
      <w:lvlText w:val="%5"/>
      <w:lvlJc w:val="left"/>
      <w:pPr>
        <w:ind w:left="421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9738A604">
      <w:start w:val="1"/>
      <w:numFmt w:val="lowerRoman"/>
      <w:lvlText w:val="%6"/>
      <w:lvlJc w:val="left"/>
      <w:pPr>
        <w:ind w:left="493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89D2AFF2">
      <w:start w:val="1"/>
      <w:numFmt w:val="decimal"/>
      <w:lvlText w:val="%7"/>
      <w:lvlJc w:val="left"/>
      <w:pPr>
        <w:ind w:left="565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8C2ACBA8">
      <w:start w:val="1"/>
      <w:numFmt w:val="lowerLetter"/>
      <w:lvlText w:val="%8"/>
      <w:lvlJc w:val="left"/>
      <w:pPr>
        <w:ind w:left="637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99A4A75E">
      <w:start w:val="1"/>
      <w:numFmt w:val="lowerRoman"/>
      <w:lvlText w:val="%9"/>
      <w:lvlJc w:val="left"/>
      <w:pPr>
        <w:ind w:left="7099"/>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2A85B58"/>
    <w:multiLevelType w:val="hybridMultilevel"/>
    <w:tmpl w:val="20E8EED4"/>
    <w:lvl w:ilvl="0" w:tplc="E1C498E8">
      <w:start w:val="1"/>
      <w:numFmt w:val="decimal"/>
      <w:lvlText w:val="%1"/>
      <w:lvlJc w:val="left"/>
      <w:pPr>
        <w:ind w:left="99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1" w:tplc="8A7C183A">
      <w:start w:val="1"/>
      <w:numFmt w:val="lowerLetter"/>
      <w:lvlText w:val="%2"/>
      <w:lvlJc w:val="left"/>
      <w:pPr>
        <w:ind w:left="150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2" w:tplc="DFF65AEA">
      <w:start w:val="1"/>
      <w:numFmt w:val="lowerRoman"/>
      <w:lvlText w:val="%3"/>
      <w:lvlJc w:val="left"/>
      <w:pPr>
        <w:ind w:left="222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3" w:tplc="17567D0C">
      <w:start w:val="1"/>
      <w:numFmt w:val="decimal"/>
      <w:lvlText w:val="%4"/>
      <w:lvlJc w:val="left"/>
      <w:pPr>
        <w:ind w:left="294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4" w:tplc="BB541652">
      <w:start w:val="1"/>
      <w:numFmt w:val="lowerLetter"/>
      <w:lvlText w:val="%5"/>
      <w:lvlJc w:val="left"/>
      <w:pPr>
        <w:ind w:left="366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5" w:tplc="C87A7378">
      <w:start w:val="1"/>
      <w:numFmt w:val="lowerRoman"/>
      <w:lvlText w:val="%6"/>
      <w:lvlJc w:val="left"/>
      <w:pPr>
        <w:ind w:left="438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6" w:tplc="363E720C">
      <w:start w:val="1"/>
      <w:numFmt w:val="decimal"/>
      <w:lvlText w:val="%7"/>
      <w:lvlJc w:val="left"/>
      <w:pPr>
        <w:ind w:left="510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7" w:tplc="C0783846">
      <w:start w:val="1"/>
      <w:numFmt w:val="lowerLetter"/>
      <w:lvlText w:val="%8"/>
      <w:lvlJc w:val="left"/>
      <w:pPr>
        <w:ind w:left="582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lvl w:ilvl="8" w:tplc="50621FB0">
      <w:start w:val="1"/>
      <w:numFmt w:val="lowerRoman"/>
      <w:lvlText w:val="%9"/>
      <w:lvlJc w:val="left"/>
      <w:pPr>
        <w:ind w:left="6547"/>
      </w:pPr>
      <w:rPr>
        <w:rFonts w:ascii="宋体" w:eastAsia="宋体" w:hAnsi="宋体" w:cs="宋体"/>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46E70D9"/>
    <w:multiLevelType w:val="hybridMultilevel"/>
    <w:tmpl w:val="1C48375A"/>
    <w:lvl w:ilvl="0" w:tplc="F6B04556">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4A3E32">
      <w:start w:val="1"/>
      <w:numFmt w:val="lowerLetter"/>
      <w:lvlText w:val="%2"/>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86811E">
      <w:start w:val="1"/>
      <w:numFmt w:val="lowerRoman"/>
      <w:lvlText w:val="%3"/>
      <w:lvlJc w:val="left"/>
      <w:pPr>
        <w:ind w:left="2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382418">
      <w:start w:val="1"/>
      <w:numFmt w:val="decimal"/>
      <w:lvlText w:val="%4"/>
      <w:lvlJc w:val="left"/>
      <w:pPr>
        <w:ind w:left="2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98FA40">
      <w:start w:val="1"/>
      <w:numFmt w:val="lowerLetter"/>
      <w:lvlText w:val="%5"/>
      <w:lvlJc w:val="left"/>
      <w:pPr>
        <w:ind w:left="3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96C8F6">
      <w:start w:val="1"/>
      <w:numFmt w:val="lowerRoman"/>
      <w:lvlText w:val="%6"/>
      <w:lvlJc w:val="left"/>
      <w:pPr>
        <w:ind w:left="4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DE1548">
      <w:start w:val="1"/>
      <w:numFmt w:val="decimal"/>
      <w:lvlText w:val="%7"/>
      <w:lvlJc w:val="left"/>
      <w:pPr>
        <w:ind w:left="5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6E7F10">
      <w:start w:val="1"/>
      <w:numFmt w:val="lowerLetter"/>
      <w:lvlText w:val="%8"/>
      <w:lvlJc w:val="left"/>
      <w:pPr>
        <w:ind w:left="5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9A08E4">
      <w:start w:val="1"/>
      <w:numFmt w:val="lowerRoman"/>
      <w:lvlText w:val="%9"/>
      <w:lvlJc w:val="left"/>
      <w:pPr>
        <w:ind w:left="6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0"/>
  </w:num>
  <w:num w:numId="2">
    <w:abstractNumId w:val="16"/>
  </w:num>
  <w:num w:numId="3">
    <w:abstractNumId w:val="29"/>
  </w:num>
  <w:num w:numId="4">
    <w:abstractNumId w:val="15"/>
  </w:num>
  <w:num w:numId="5">
    <w:abstractNumId w:val="14"/>
  </w:num>
  <w:num w:numId="6">
    <w:abstractNumId w:val="34"/>
  </w:num>
  <w:num w:numId="7">
    <w:abstractNumId w:val="3"/>
  </w:num>
  <w:num w:numId="8">
    <w:abstractNumId w:val="25"/>
  </w:num>
  <w:num w:numId="9">
    <w:abstractNumId w:val="38"/>
  </w:num>
  <w:num w:numId="10">
    <w:abstractNumId w:val="13"/>
  </w:num>
  <w:num w:numId="11">
    <w:abstractNumId w:val="8"/>
  </w:num>
  <w:num w:numId="12">
    <w:abstractNumId w:val="35"/>
  </w:num>
  <w:num w:numId="13">
    <w:abstractNumId w:val="28"/>
  </w:num>
  <w:num w:numId="14">
    <w:abstractNumId w:val="6"/>
  </w:num>
  <w:num w:numId="15">
    <w:abstractNumId w:val="27"/>
  </w:num>
  <w:num w:numId="16">
    <w:abstractNumId w:val="7"/>
  </w:num>
  <w:num w:numId="17">
    <w:abstractNumId w:val="9"/>
  </w:num>
  <w:num w:numId="18">
    <w:abstractNumId w:val="22"/>
  </w:num>
  <w:num w:numId="19">
    <w:abstractNumId w:val="5"/>
  </w:num>
  <w:num w:numId="20">
    <w:abstractNumId w:val="36"/>
  </w:num>
  <w:num w:numId="21">
    <w:abstractNumId w:val="11"/>
  </w:num>
  <w:num w:numId="22">
    <w:abstractNumId w:val="4"/>
  </w:num>
  <w:num w:numId="23">
    <w:abstractNumId w:val="1"/>
  </w:num>
  <w:num w:numId="24">
    <w:abstractNumId w:val="10"/>
  </w:num>
  <w:num w:numId="25">
    <w:abstractNumId w:val="33"/>
  </w:num>
  <w:num w:numId="26">
    <w:abstractNumId w:val="20"/>
  </w:num>
  <w:num w:numId="27">
    <w:abstractNumId w:val="0"/>
  </w:num>
  <w:num w:numId="28">
    <w:abstractNumId w:val="12"/>
  </w:num>
  <w:num w:numId="29">
    <w:abstractNumId w:val="32"/>
  </w:num>
  <w:num w:numId="30">
    <w:abstractNumId w:val="21"/>
  </w:num>
  <w:num w:numId="31">
    <w:abstractNumId w:val="26"/>
  </w:num>
  <w:num w:numId="32">
    <w:abstractNumId w:val="17"/>
  </w:num>
  <w:num w:numId="33">
    <w:abstractNumId w:val="37"/>
  </w:num>
  <w:num w:numId="34">
    <w:abstractNumId w:val="2"/>
  </w:num>
  <w:num w:numId="35">
    <w:abstractNumId w:val="23"/>
  </w:num>
  <w:num w:numId="36">
    <w:abstractNumId w:val="18"/>
  </w:num>
  <w:num w:numId="37">
    <w:abstractNumId w:val="31"/>
  </w:num>
  <w:num w:numId="38">
    <w:abstractNumId w:val="24"/>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DD"/>
    <w:rsid w:val="001A0A8C"/>
    <w:rsid w:val="003B15AA"/>
    <w:rsid w:val="0062208E"/>
    <w:rsid w:val="006C48F3"/>
    <w:rsid w:val="00A07A41"/>
    <w:rsid w:val="00B8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BDFAB"/>
  <w15:docId w15:val="{70275AA2-FF2C-4BE1-B2CF-056D12CC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65" w:lineRule="auto"/>
      <w:ind w:left="7" w:right="270" w:hanging="7"/>
    </w:pPr>
    <w:rPr>
      <w:rFonts w:ascii="宋体" w:eastAsia="宋体" w:hAnsi="宋体" w:cs="宋体"/>
      <w:color w:val="000000"/>
      <w:sz w:val="28"/>
    </w:rPr>
  </w:style>
  <w:style w:type="paragraph" w:styleId="1">
    <w:name w:val="heading 1"/>
    <w:next w:val="a"/>
    <w:link w:val="10"/>
    <w:uiPriority w:val="9"/>
    <w:unhideWhenUsed/>
    <w:qFormat/>
    <w:pPr>
      <w:keepNext/>
      <w:keepLines/>
      <w:numPr>
        <w:numId w:val="39"/>
      </w:numPr>
      <w:spacing w:after="416" w:line="259" w:lineRule="auto"/>
      <w:ind w:left="10" w:right="134" w:hanging="10"/>
      <w:jc w:val="center"/>
      <w:outlineLvl w:val="0"/>
    </w:pPr>
    <w:rPr>
      <w:rFonts w:ascii="宋体" w:eastAsia="宋体" w:hAnsi="宋体" w:cs="宋体"/>
      <w:color w:val="000000"/>
      <w:sz w:val="44"/>
    </w:rPr>
  </w:style>
  <w:style w:type="paragraph" w:styleId="2">
    <w:name w:val="heading 2"/>
    <w:next w:val="a"/>
    <w:link w:val="20"/>
    <w:uiPriority w:val="9"/>
    <w:unhideWhenUsed/>
    <w:qFormat/>
    <w:pPr>
      <w:keepNext/>
      <w:keepLines/>
      <w:numPr>
        <w:ilvl w:val="1"/>
        <w:numId w:val="39"/>
      </w:numPr>
      <w:spacing w:after="499" w:line="265" w:lineRule="auto"/>
      <w:ind w:left="10" w:right="131" w:hanging="10"/>
      <w:jc w:val="center"/>
      <w:outlineLvl w:val="1"/>
    </w:pPr>
    <w:rPr>
      <w:rFonts w:ascii="黑体" w:eastAsia="黑体" w:hAnsi="黑体" w:cs="黑体"/>
      <w:color w:val="000000"/>
      <w:sz w:val="28"/>
    </w:rPr>
  </w:style>
  <w:style w:type="paragraph" w:styleId="3">
    <w:name w:val="heading 3"/>
    <w:next w:val="a"/>
    <w:link w:val="30"/>
    <w:uiPriority w:val="9"/>
    <w:unhideWhenUsed/>
    <w:qFormat/>
    <w:pPr>
      <w:keepNext/>
      <w:keepLines/>
      <w:spacing w:line="259" w:lineRule="auto"/>
      <w:ind w:right="275"/>
      <w:jc w:val="center"/>
      <w:outlineLvl w:val="2"/>
    </w:pPr>
    <w:rPr>
      <w:rFonts w:ascii="黑体" w:eastAsia="黑体" w:hAnsi="黑体" w:cs="黑体"/>
      <w:color w:val="000000"/>
      <w:sz w:val="28"/>
    </w:rPr>
  </w:style>
  <w:style w:type="paragraph" w:styleId="4">
    <w:name w:val="heading 4"/>
    <w:next w:val="a"/>
    <w:link w:val="40"/>
    <w:uiPriority w:val="9"/>
    <w:unhideWhenUsed/>
    <w:qFormat/>
    <w:pPr>
      <w:keepNext/>
      <w:keepLines/>
      <w:spacing w:after="67" w:line="259" w:lineRule="auto"/>
      <w:ind w:right="275"/>
      <w:jc w:val="center"/>
      <w:outlineLvl w:val="3"/>
    </w:pPr>
    <w:rPr>
      <w:rFonts w:ascii="宋体" w:eastAsia="宋体" w:hAnsi="宋体" w:cs="宋体"/>
      <w:color w:val="365F9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rPr>
      <w:rFonts w:ascii="黑体" w:eastAsia="黑体" w:hAnsi="黑体" w:cs="黑体"/>
      <w:color w:val="000000"/>
      <w:sz w:val="28"/>
    </w:rPr>
  </w:style>
  <w:style w:type="character" w:customStyle="1" w:styleId="30">
    <w:name w:val="标题 3 字符"/>
    <w:link w:val="3"/>
    <w:rPr>
      <w:rFonts w:ascii="黑体" w:eastAsia="黑体" w:hAnsi="黑体" w:cs="黑体"/>
      <w:color w:val="000000"/>
      <w:sz w:val="28"/>
    </w:rPr>
  </w:style>
  <w:style w:type="character" w:customStyle="1" w:styleId="40">
    <w:name w:val="标题 4 字符"/>
    <w:link w:val="4"/>
    <w:rPr>
      <w:rFonts w:ascii="宋体" w:eastAsia="宋体" w:hAnsi="宋体" w:cs="宋体"/>
      <w:color w:val="365F91"/>
      <w:sz w:val="28"/>
    </w:rPr>
  </w:style>
  <w:style w:type="character" w:customStyle="1" w:styleId="10">
    <w:name w:val="标题 1 字符"/>
    <w:link w:val="1"/>
    <w:rPr>
      <w:rFonts w:ascii="宋体" w:eastAsia="宋体" w:hAnsi="宋体" w:cs="宋体"/>
      <w:color w:val="000000"/>
      <w:sz w:val="44"/>
    </w:rPr>
  </w:style>
  <w:style w:type="paragraph" w:styleId="11">
    <w:name w:val="toc 1"/>
    <w:hidden/>
    <w:pPr>
      <w:spacing w:after="79" w:line="385" w:lineRule="auto"/>
      <w:ind w:left="329" w:right="1004" w:firstLine="225"/>
    </w:pPr>
    <w:rPr>
      <w:rFonts w:ascii="Times New Roman" w:eastAsia="Times New Roman" w:hAnsi="Times New Roman" w:cs="Times New Roman"/>
      <w:color w:val="000000"/>
    </w:rPr>
  </w:style>
  <w:style w:type="paragraph" w:styleId="21">
    <w:name w:val="toc 2"/>
    <w:hidden/>
    <w:pPr>
      <w:spacing w:after="172" w:line="259" w:lineRule="auto"/>
      <w:ind w:left="575" w:right="1004" w:hanging="10"/>
    </w:pPr>
    <w:rPr>
      <w:rFonts w:ascii="Calibri" w:eastAsia="Calibri" w:hAnsi="Calibri" w:cs="Calibri"/>
      <w:color w:val="000000"/>
      <w:sz w:val="22"/>
    </w:rPr>
  </w:style>
  <w:style w:type="paragraph" w:styleId="a3">
    <w:name w:val="header"/>
    <w:basedOn w:val="a"/>
    <w:link w:val="a4"/>
    <w:uiPriority w:val="99"/>
    <w:semiHidden/>
    <w:unhideWhenUsed/>
    <w:rsid w:val="0062208E"/>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semiHidden/>
    <w:rsid w:val="0062208E"/>
    <w:rPr>
      <w:rFonts w:ascii="宋体" w:eastAsia="宋体" w:hAnsi="宋体" w:cs="宋体"/>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theme" Target="theme/theme1.xml"/><Relationship Id="rId8"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32" Type="http://schemas.openxmlformats.org/officeDocument/2006/relationships/image" Target="media/image0.jpg"/></Relationships>
</file>

<file path=word/_rels/header10.xml.rels><?xml version="1.0" encoding="UTF-8" standalone="yes"?>
<Relationships xmlns="http://schemas.openxmlformats.org/package/2006/relationships"><Relationship Id="rId1" Type="http://schemas.openxmlformats.org/officeDocument/2006/relationships/image" Target="media/image3.jpg"/><Relationship Id="rId32" Type="http://schemas.openxmlformats.org/officeDocument/2006/relationships/image" Target="media/image0.jpg"/></Relationships>
</file>

<file path=word/_rels/header12.xml.rels><?xml version="1.0" encoding="UTF-8" standalone="yes"?>
<Relationships xmlns="http://schemas.openxmlformats.org/package/2006/relationships"><Relationship Id="rId1" Type="http://schemas.openxmlformats.org/officeDocument/2006/relationships/image" Target="media/image3.jpg"/><Relationship Id="rId32"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 Id="rId32" Type="http://schemas.openxmlformats.org/officeDocument/2006/relationships/image" Target="media/image0.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 Id="rId32" Type="http://schemas.openxmlformats.org/officeDocument/2006/relationships/image" Target="media/image0.jp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 Id="rId32" Type="http://schemas.openxmlformats.org/officeDocument/2006/relationships/image" Target="media/image0.jpg"/></Relationships>
</file>

<file path=word/_rels/header7.xml.rels><?xml version="1.0" encoding="UTF-8" standalone="yes"?>
<Relationships xmlns="http://schemas.openxmlformats.org/package/2006/relationships"><Relationship Id="rId1" Type="http://schemas.openxmlformats.org/officeDocument/2006/relationships/image" Target="media/image3.jpg"/><Relationship Id="rId32" Type="http://schemas.openxmlformats.org/officeDocument/2006/relationships/image" Target="media/image0.jpg"/></Relationships>
</file>

<file path=word/_rels/header9.xml.rels><?xml version="1.0" encoding="UTF-8" standalone="yes"?>
<Relationships xmlns="http://schemas.openxmlformats.org/package/2006/relationships"><Relationship Id="rId1" Type="http://schemas.openxmlformats.org/officeDocument/2006/relationships/image" Target="media/image3.jpg"/><Relationship Id="rId32" Type="http://schemas.openxmlformats.org/officeDocument/2006/relationships/image" Target="media/image0.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3649</Words>
  <Characters>20801</Characters>
  <Application>Microsoft Office Word</Application>
  <DocSecurity>0</DocSecurity>
  <Lines>173</Lines>
  <Paragraphs>48</Paragraphs>
  <ScaleCrop>false</ScaleCrop>
  <Company>Microsoft</Company>
  <LinksUpToDate>false</LinksUpToDate>
  <CharactersWithSpaces>24402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李宏伟</dc:creator>
  <cp:keywords/>
  <cp:lastModifiedBy>Anonymous</cp:lastModifiedBy>
  <cp:revision>5</cp:revision>
  <dcterms:created xsi:type="dcterms:W3CDTF">2018-05-11T23:51:00Z</dcterms:created>
  <dcterms:modified xsi:type="dcterms:W3CDTF">2018-05-12T00:40:00Z</dcterms:modified>
</cp:coreProperties>
</file>